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E1C" w:rsidRDefault="00885E1C" w:rsidP="00885E1C">
      <w:pPr>
        <w:spacing w:after="0" w:line="360" w:lineRule="auto"/>
        <w:jc w:val="both"/>
        <w:rPr>
          <w:rFonts w:ascii="Times New Roman" w:hAnsi="Times New Roman" w:cs="Times New Roman"/>
          <w:b/>
          <w:sz w:val="24"/>
          <w:szCs w:val="24"/>
          <w:lang w:val="fr-CM"/>
        </w:rPr>
      </w:pPr>
      <w:r w:rsidRPr="009E61A6">
        <w:rPr>
          <w:rFonts w:ascii="Times New Roman" w:hAnsi="Times New Roman" w:cs="Times New Roman"/>
          <w:b/>
          <w:sz w:val="24"/>
          <w:szCs w:val="24"/>
          <w:lang w:val="fr-CM"/>
        </w:rPr>
        <w:t>Ancrage culturel et décision d’achat du consommateu</w:t>
      </w:r>
      <w:r>
        <w:rPr>
          <w:rFonts w:ascii="Times New Roman" w:hAnsi="Times New Roman" w:cs="Times New Roman"/>
          <w:b/>
          <w:sz w:val="24"/>
          <w:szCs w:val="24"/>
          <w:lang w:val="fr-CM"/>
        </w:rPr>
        <w:t xml:space="preserve">r pauvre en Afrique </w:t>
      </w:r>
    </w:p>
    <w:p w:rsidR="00885E1C" w:rsidRDefault="00885E1C" w:rsidP="00885E1C">
      <w:pPr>
        <w:spacing w:after="0" w:line="360" w:lineRule="auto"/>
        <w:jc w:val="both"/>
        <w:rPr>
          <w:rFonts w:ascii="Times New Roman" w:hAnsi="Times New Roman" w:cs="Times New Roman"/>
          <w:b/>
          <w:sz w:val="24"/>
          <w:szCs w:val="24"/>
          <w:lang w:val="fr-CM"/>
        </w:rPr>
      </w:pPr>
    </w:p>
    <w:p w:rsidR="00885E1C" w:rsidRPr="009E61A6" w:rsidRDefault="00885E1C" w:rsidP="00885E1C">
      <w:pPr>
        <w:spacing w:after="0" w:line="360" w:lineRule="auto"/>
        <w:jc w:val="both"/>
        <w:rPr>
          <w:rFonts w:ascii="Times New Roman" w:hAnsi="Times New Roman" w:cs="Times New Roman"/>
          <w:b/>
          <w:sz w:val="24"/>
          <w:szCs w:val="24"/>
          <w:lang w:val="fr-CM"/>
        </w:rPr>
      </w:pPr>
      <w:r>
        <w:rPr>
          <w:rFonts w:ascii="Times New Roman" w:hAnsi="Times New Roman" w:cs="Times New Roman"/>
          <w:b/>
          <w:sz w:val="24"/>
          <w:szCs w:val="24"/>
          <w:lang w:val="fr-CM"/>
        </w:rPr>
        <w:t>Introduction</w:t>
      </w:r>
    </w:p>
    <w:p w:rsidR="00885E1C" w:rsidRPr="001E5E7F" w:rsidRDefault="00885E1C" w:rsidP="00885E1C">
      <w:pPr>
        <w:spacing w:after="0" w:line="240" w:lineRule="auto"/>
        <w:ind w:right="480"/>
        <w:jc w:val="right"/>
        <w:rPr>
          <w:rFonts w:ascii="Times New Roman" w:hAnsi="Times New Roman" w:cs="Times New Roman"/>
          <w:i/>
          <w:sz w:val="18"/>
          <w:szCs w:val="18"/>
          <w:lang w:val="fr-CM"/>
        </w:rPr>
      </w:pPr>
      <w:r>
        <w:rPr>
          <w:rFonts w:ascii="Times New Roman" w:hAnsi="Times New Roman" w:cs="Times New Roman"/>
          <w:i/>
          <w:sz w:val="18"/>
          <w:szCs w:val="18"/>
        </w:rPr>
        <w:t xml:space="preserve">   </w:t>
      </w:r>
      <w:r w:rsidRPr="009E61A6">
        <w:rPr>
          <w:rFonts w:ascii="Times New Roman" w:hAnsi="Times New Roman" w:cs="Times New Roman"/>
          <w:i/>
          <w:sz w:val="18"/>
          <w:szCs w:val="18"/>
        </w:rPr>
        <w:t xml:space="preserve"> </w:t>
      </w:r>
      <w:r w:rsidRPr="001E5E7F">
        <w:rPr>
          <w:rFonts w:ascii="Times New Roman" w:hAnsi="Times New Roman" w:cs="Times New Roman"/>
          <w:i/>
          <w:sz w:val="18"/>
          <w:szCs w:val="18"/>
          <w:lang w:val="fr-CM"/>
        </w:rPr>
        <w:t xml:space="preserve">Les projets réussis en Afrique sont ceux qui appréhendent </w:t>
      </w:r>
    </w:p>
    <w:p w:rsidR="00885E1C" w:rsidRDefault="00885E1C" w:rsidP="00885E1C">
      <w:pPr>
        <w:spacing w:after="0" w:line="240" w:lineRule="auto"/>
        <w:ind w:right="90"/>
        <w:jc w:val="right"/>
        <w:rPr>
          <w:rFonts w:ascii="Times New Roman" w:hAnsi="Times New Roman" w:cs="Times New Roman"/>
          <w:i/>
          <w:sz w:val="18"/>
          <w:szCs w:val="18"/>
          <w:lang w:val="fr-CM"/>
        </w:rPr>
      </w:pPr>
      <w:proofErr w:type="gramStart"/>
      <w:r w:rsidRPr="001E5E7F">
        <w:rPr>
          <w:rFonts w:ascii="Times New Roman" w:hAnsi="Times New Roman" w:cs="Times New Roman"/>
          <w:i/>
          <w:sz w:val="18"/>
          <w:szCs w:val="18"/>
          <w:lang w:val="fr-CM"/>
        </w:rPr>
        <w:t>le</w:t>
      </w:r>
      <w:proofErr w:type="gramEnd"/>
      <w:r w:rsidRPr="001E5E7F">
        <w:rPr>
          <w:rFonts w:ascii="Times New Roman" w:hAnsi="Times New Roman" w:cs="Times New Roman"/>
          <w:i/>
          <w:sz w:val="18"/>
          <w:szCs w:val="18"/>
          <w:lang w:val="fr-CM"/>
        </w:rPr>
        <w:t xml:space="preserve"> contexte socio-culturel de manière pertinente et approfondie</w:t>
      </w:r>
    </w:p>
    <w:p w:rsidR="00885E1C" w:rsidRDefault="00885E1C" w:rsidP="00885E1C">
      <w:pPr>
        <w:spacing w:after="0" w:line="240" w:lineRule="auto"/>
        <w:ind w:right="90"/>
        <w:jc w:val="right"/>
        <w:rPr>
          <w:rFonts w:ascii="Times New Roman" w:hAnsi="Times New Roman" w:cs="Times New Roman"/>
          <w:i/>
          <w:sz w:val="18"/>
          <w:szCs w:val="18"/>
          <w:lang w:val="fr-CM"/>
        </w:rPr>
      </w:pPr>
      <w:r>
        <w:rPr>
          <w:rFonts w:ascii="Times New Roman" w:hAnsi="Times New Roman" w:cs="Times New Roman"/>
          <w:i/>
          <w:sz w:val="18"/>
          <w:szCs w:val="18"/>
          <w:lang w:val="fr-CM"/>
        </w:rPr>
        <w:t>(</w:t>
      </w:r>
      <w:proofErr w:type="spellStart"/>
      <w:r>
        <w:rPr>
          <w:rFonts w:ascii="Times New Roman" w:hAnsi="Times New Roman" w:cs="Times New Roman"/>
          <w:i/>
          <w:sz w:val="18"/>
          <w:szCs w:val="18"/>
          <w:lang w:val="fr-CM"/>
        </w:rPr>
        <w:t>Deberry</w:t>
      </w:r>
      <w:proofErr w:type="spellEnd"/>
      <w:r>
        <w:rPr>
          <w:rFonts w:ascii="Times New Roman" w:hAnsi="Times New Roman" w:cs="Times New Roman"/>
          <w:i/>
          <w:sz w:val="18"/>
          <w:szCs w:val="18"/>
          <w:lang w:val="fr-CM"/>
        </w:rPr>
        <w:t>- Spencer &amp; Al, 2012)</w:t>
      </w:r>
    </w:p>
    <w:p w:rsidR="00885E1C" w:rsidRDefault="00885E1C" w:rsidP="00885E1C">
      <w:pPr>
        <w:spacing w:after="0" w:line="240" w:lineRule="auto"/>
        <w:ind w:right="90"/>
        <w:jc w:val="right"/>
        <w:rPr>
          <w:rFonts w:ascii="Times New Roman" w:hAnsi="Times New Roman" w:cs="Times New Roman"/>
          <w:i/>
          <w:sz w:val="18"/>
          <w:szCs w:val="18"/>
          <w:lang w:val="fr-CM"/>
        </w:rPr>
      </w:pPr>
    </w:p>
    <w:p w:rsidR="00885E1C" w:rsidRPr="001E5E7F" w:rsidRDefault="00885E1C" w:rsidP="00885E1C">
      <w:pPr>
        <w:spacing w:after="0" w:line="240" w:lineRule="auto"/>
        <w:ind w:right="90"/>
        <w:jc w:val="right"/>
        <w:rPr>
          <w:rFonts w:ascii="Times New Roman" w:hAnsi="Times New Roman" w:cs="Times New Roman"/>
          <w:i/>
          <w:sz w:val="18"/>
          <w:szCs w:val="18"/>
          <w:lang w:val="fr-CM"/>
        </w:rPr>
      </w:pPr>
    </w:p>
    <w:p w:rsidR="00885E1C" w:rsidRDefault="00885E1C" w:rsidP="00885E1C">
      <w:pPr>
        <w:spacing w:after="0" w:line="360" w:lineRule="auto"/>
        <w:jc w:val="both"/>
        <w:rPr>
          <w:rFonts w:ascii="Times New Roman" w:hAnsi="Times New Roman" w:cs="Times New Roman"/>
          <w:sz w:val="24"/>
          <w:szCs w:val="24"/>
          <w:lang w:val="fr-CM"/>
        </w:rPr>
      </w:pPr>
      <w:r>
        <w:rPr>
          <w:rFonts w:ascii="Times New Roman" w:hAnsi="Times New Roman" w:cs="Times New Roman"/>
          <w:sz w:val="24"/>
          <w:szCs w:val="24"/>
          <w:lang w:val="fr-CM"/>
        </w:rPr>
        <w:tab/>
        <w:t>Le concept de pauvreté qui a toujours fait l’objet des débats au sein des institutions internationales et des Etats, attire de plus en plus l’attention des milieux professionnels et académiques. Ainsi, d’un point de vue, il s’agit pour ces organisations de mettre en place des stratégies pertinentes pour le segment des consommateurs pauvres (</w:t>
      </w:r>
      <w:proofErr w:type="spellStart"/>
      <w:r>
        <w:rPr>
          <w:rFonts w:ascii="Times New Roman" w:hAnsi="Times New Roman" w:cs="Times New Roman"/>
          <w:sz w:val="24"/>
          <w:szCs w:val="24"/>
          <w:lang w:val="fr-CM"/>
        </w:rPr>
        <w:t>Pestre</w:t>
      </w:r>
      <w:proofErr w:type="spellEnd"/>
      <w:r>
        <w:rPr>
          <w:rFonts w:ascii="Times New Roman" w:hAnsi="Times New Roman" w:cs="Times New Roman"/>
          <w:sz w:val="24"/>
          <w:szCs w:val="24"/>
          <w:lang w:val="fr-CM"/>
        </w:rPr>
        <w:t xml:space="preserve">, 2010 ; Guérin &amp; </w:t>
      </w:r>
      <w:proofErr w:type="spellStart"/>
      <w:r>
        <w:rPr>
          <w:rFonts w:ascii="Times New Roman" w:hAnsi="Times New Roman" w:cs="Times New Roman"/>
          <w:sz w:val="24"/>
          <w:szCs w:val="24"/>
          <w:lang w:val="fr-CM"/>
        </w:rPr>
        <w:t>Yaouanq</w:t>
      </w:r>
      <w:proofErr w:type="spellEnd"/>
      <w:r>
        <w:rPr>
          <w:rFonts w:ascii="Times New Roman" w:hAnsi="Times New Roman" w:cs="Times New Roman"/>
          <w:sz w:val="24"/>
          <w:szCs w:val="24"/>
          <w:lang w:val="fr-CM"/>
        </w:rPr>
        <w:t xml:space="preserve">, 2012) : c’est dans cette logique que s’inscrivent les lancements des produits bas de gamme par plusieurs firmes multinationales et grandes entreprises comme  Procter &amp; </w:t>
      </w:r>
      <w:proofErr w:type="spellStart"/>
      <w:r>
        <w:rPr>
          <w:rFonts w:ascii="Times New Roman" w:hAnsi="Times New Roman" w:cs="Times New Roman"/>
          <w:sz w:val="24"/>
          <w:szCs w:val="24"/>
          <w:lang w:val="fr-CM"/>
        </w:rPr>
        <w:t>Gamble</w:t>
      </w:r>
      <w:proofErr w:type="spellEnd"/>
      <w:r>
        <w:rPr>
          <w:rFonts w:ascii="Times New Roman" w:hAnsi="Times New Roman" w:cs="Times New Roman"/>
          <w:sz w:val="24"/>
          <w:szCs w:val="24"/>
          <w:lang w:val="fr-CM"/>
        </w:rPr>
        <w:t xml:space="preserve">, etc. ; les politiques de dumping ; les stratégies de </w:t>
      </w:r>
      <w:proofErr w:type="spellStart"/>
      <w:r>
        <w:rPr>
          <w:rFonts w:ascii="Times New Roman" w:hAnsi="Times New Roman" w:cs="Times New Roman"/>
          <w:sz w:val="24"/>
          <w:szCs w:val="24"/>
          <w:lang w:val="fr-CM"/>
        </w:rPr>
        <w:t>low</w:t>
      </w:r>
      <w:proofErr w:type="spellEnd"/>
      <w:r>
        <w:rPr>
          <w:rFonts w:ascii="Times New Roman" w:hAnsi="Times New Roman" w:cs="Times New Roman"/>
          <w:sz w:val="24"/>
          <w:szCs w:val="24"/>
          <w:lang w:val="fr-CM"/>
        </w:rPr>
        <w:t xml:space="preserve"> </w:t>
      </w:r>
      <w:proofErr w:type="spellStart"/>
      <w:r>
        <w:rPr>
          <w:rFonts w:ascii="Times New Roman" w:hAnsi="Times New Roman" w:cs="Times New Roman"/>
          <w:sz w:val="24"/>
          <w:szCs w:val="24"/>
          <w:lang w:val="fr-CM"/>
        </w:rPr>
        <w:t>cost</w:t>
      </w:r>
      <w:proofErr w:type="spellEnd"/>
      <w:r>
        <w:rPr>
          <w:rFonts w:ascii="Times New Roman" w:hAnsi="Times New Roman" w:cs="Times New Roman"/>
          <w:sz w:val="24"/>
          <w:szCs w:val="24"/>
          <w:lang w:val="fr-CM"/>
        </w:rPr>
        <w:t xml:space="preserve"> …. D’un autre point de vue, la pauvreté interpelle l’homme de marketing (D’Alsace &amp; Menacé, 2010) qui est à la base des produits destinés à satisfaire les populations et donc autant les riches que les pauvres. A cette fragilité s’ajoutent les sous-cultures qui constituent des freins à l’achat, transformant ainsi ces non-consommateurs relatifs en non-consommateurs absolus des offres de l’entreprise. Les exemples des yaourts Danone au Bangladesh et du savon antiseptique </w:t>
      </w:r>
      <w:proofErr w:type="spellStart"/>
      <w:r>
        <w:rPr>
          <w:rFonts w:ascii="Times New Roman" w:hAnsi="Times New Roman" w:cs="Times New Roman"/>
          <w:sz w:val="24"/>
          <w:szCs w:val="24"/>
          <w:lang w:val="fr-CM"/>
        </w:rPr>
        <w:t>Lifebuoy</w:t>
      </w:r>
      <w:proofErr w:type="spellEnd"/>
      <w:r>
        <w:rPr>
          <w:rFonts w:ascii="Times New Roman" w:hAnsi="Times New Roman" w:cs="Times New Roman"/>
          <w:sz w:val="24"/>
          <w:szCs w:val="24"/>
          <w:lang w:val="fr-CM"/>
        </w:rPr>
        <w:t xml:space="preserve"> Soap en Inde sont des cas des entreprises qui ont négligé les facteurs socio-culturels en contexte de pauvreté dans leurs politiques commerciales et qui ont connu des échecs. D’où la nécessité de tenir compte des sous-cultures dans des contextes de pauvreté afin de se prémunir des risques d’échec (Cross &amp; Street, 2009).</w:t>
      </w:r>
    </w:p>
    <w:p w:rsidR="00885E1C" w:rsidRPr="0043413E" w:rsidRDefault="00885E1C" w:rsidP="00885E1C">
      <w:pPr>
        <w:spacing w:after="0" w:line="360" w:lineRule="auto"/>
        <w:ind w:firstLine="708"/>
        <w:jc w:val="both"/>
        <w:rPr>
          <w:rFonts w:ascii="Times New Roman" w:hAnsi="Times New Roman" w:cs="Times New Roman"/>
          <w:sz w:val="24"/>
          <w:szCs w:val="24"/>
          <w:lang w:val="fr-CM"/>
        </w:rPr>
      </w:pPr>
      <w:r>
        <w:rPr>
          <w:rFonts w:ascii="Times New Roman" w:hAnsi="Times New Roman" w:cs="Times New Roman"/>
          <w:sz w:val="24"/>
          <w:szCs w:val="24"/>
          <w:lang w:val="fr-CM"/>
        </w:rPr>
        <w:t>Si la plupart des travaux se sont intéressés au consommateur pauvre dans les continents européens (</w:t>
      </w:r>
      <w:proofErr w:type="spellStart"/>
      <w:r>
        <w:rPr>
          <w:rFonts w:ascii="Times New Roman" w:hAnsi="Times New Roman" w:cs="Times New Roman"/>
          <w:sz w:val="24"/>
          <w:szCs w:val="24"/>
          <w:lang w:val="fr-CM"/>
        </w:rPr>
        <w:t>Axelova</w:t>
      </w:r>
      <w:proofErr w:type="spellEnd"/>
      <w:r>
        <w:rPr>
          <w:rFonts w:ascii="Times New Roman" w:hAnsi="Times New Roman" w:cs="Times New Roman"/>
          <w:sz w:val="24"/>
          <w:szCs w:val="24"/>
          <w:lang w:val="fr-CM"/>
        </w:rPr>
        <w:t xml:space="preserve">, 2005 ; Delacroix &amp; Gorge, 2017), aucune recherche n’a été effectuée, à notre connaissance, en Afrique noire sur ce concept aussi mitigé que protéiforme. Cette recherche vient combler ce vide et pose un certain nombre d’interrogations sur le pauvre noir africain en tant que consommateur et donc client potentiel et source de marché : Quels sont ses différents besoins ?  A quels types de produits s’intéresse-t-il ? Quel (s) est (sont) son (ses) ensemble (s)  de considération ? Quel est l’impact des sous-cultures dans ses décision (s) d’achat ? Le choix de ses produits dépend-il de de la religion du fabricant / distributeur ? De l’ethnie de la marque / du distributeur ? Des traditions du consommateur ? Des normes sociales ? Ou alors de l’ensemble de ces variables ? Qu’est-ce qui pourrait justifier la variété des comportements observés d’un consommateur pauvre à un autre ? Pour tenter d’apporter des réponses à ces questions qui vont aider les milieux professionnels à mieux construire leurs </w:t>
      </w:r>
      <w:r>
        <w:rPr>
          <w:rFonts w:ascii="Times New Roman" w:hAnsi="Times New Roman" w:cs="Times New Roman"/>
          <w:sz w:val="24"/>
          <w:szCs w:val="24"/>
          <w:lang w:val="fr-CM"/>
        </w:rPr>
        <w:lastRenderedPageBreak/>
        <w:t xml:space="preserve">offres commerciales destinées aux pauvres noirs africains, une revue de la littérature des concepts mis en jeu s’avère indispensable, ainsi qu’une approche </w:t>
      </w:r>
      <w:proofErr w:type="spellStart"/>
      <w:r>
        <w:rPr>
          <w:rFonts w:ascii="Times New Roman" w:hAnsi="Times New Roman" w:cs="Times New Roman"/>
          <w:sz w:val="24"/>
          <w:szCs w:val="24"/>
          <w:lang w:val="fr-CM"/>
        </w:rPr>
        <w:t>qualimétrique</w:t>
      </w:r>
      <w:proofErr w:type="spellEnd"/>
      <w:r>
        <w:rPr>
          <w:rFonts w:ascii="Times New Roman" w:hAnsi="Times New Roman" w:cs="Times New Roman"/>
          <w:sz w:val="24"/>
          <w:szCs w:val="24"/>
          <w:lang w:val="fr-CM"/>
        </w:rPr>
        <w:t xml:space="preserve"> permettant de limiter les biais et de renforcer la fiabilité et la validité de notre étude. De ce fait, après une observation des comportements populations pauvres de certaines régions d’Afrique Sub-Saharienne, nous avons réalisé des récits de vie auprès d’une dizaine de consommateurs pauvres  afin d’identifier leurs critères de choix, de même que les types de produits achetés... Puis, nous allons réaliser une enquête auprès de 400 pauvres consommateurs appartenant à plusieurs régions de pays d’Afrique noire afin de mettre en évidence les variables sous-culturelles qui influencent les décisions d’achat de ces derniers. Cette recherche débouche sur des implications managériales </w:t>
      </w:r>
      <w:r w:rsidRPr="00C825B2">
        <w:rPr>
          <w:rFonts w:ascii="Times New Roman" w:hAnsi="Times New Roman" w:cs="Times New Roman"/>
          <w:sz w:val="24"/>
          <w:szCs w:val="24"/>
        </w:rPr>
        <w:t xml:space="preserve"> et ouvre des voies pour des recherches ultérieures</w:t>
      </w:r>
      <w:r>
        <w:rPr>
          <w:rFonts w:ascii="Times New Roman" w:hAnsi="Times New Roman" w:cs="Times New Roman"/>
          <w:sz w:val="24"/>
          <w:szCs w:val="24"/>
        </w:rPr>
        <w:t>.</w:t>
      </w:r>
    </w:p>
    <w:p w:rsidR="00885E1C" w:rsidRDefault="00885E1C" w:rsidP="00885E1C">
      <w:pPr>
        <w:spacing w:after="0" w:line="360" w:lineRule="auto"/>
        <w:jc w:val="both"/>
        <w:rPr>
          <w:rFonts w:ascii="Times New Roman" w:hAnsi="Times New Roman" w:cs="Times New Roman"/>
          <w:sz w:val="24"/>
          <w:szCs w:val="24"/>
          <w:lang w:val="fr-CM"/>
        </w:rPr>
      </w:pPr>
    </w:p>
    <w:p w:rsidR="00885E1C" w:rsidRDefault="00885E1C" w:rsidP="00885E1C">
      <w:pPr>
        <w:spacing w:after="0" w:line="360" w:lineRule="auto"/>
        <w:jc w:val="both"/>
        <w:rPr>
          <w:rFonts w:ascii="Times New Roman" w:hAnsi="Times New Roman" w:cs="Times New Roman"/>
          <w:b/>
          <w:sz w:val="24"/>
          <w:szCs w:val="24"/>
          <w:lang w:val="fr-CM"/>
        </w:rPr>
      </w:pPr>
      <w:r>
        <w:rPr>
          <w:rFonts w:ascii="Times New Roman" w:hAnsi="Times New Roman" w:cs="Times New Roman"/>
          <w:b/>
          <w:sz w:val="24"/>
          <w:szCs w:val="24"/>
          <w:lang w:val="fr-CM"/>
        </w:rPr>
        <w:t>Pauvreté et décision de choix : conceptualisations et liens</w:t>
      </w:r>
    </w:p>
    <w:p w:rsidR="00885E1C" w:rsidRPr="000B4511" w:rsidRDefault="00885E1C" w:rsidP="00885E1C">
      <w:pPr>
        <w:spacing w:after="0" w:line="360" w:lineRule="auto"/>
        <w:jc w:val="both"/>
        <w:rPr>
          <w:rFonts w:ascii="Times New Roman" w:hAnsi="Times New Roman" w:cs="Times New Roman"/>
          <w:b/>
          <w:i/>
          <w:sz w:val="24"/>
          <w:szCs w:val="24"/>
          <w:lang w:val="fr-CM"/>
        </w:rPr>
      </w:pPr>
      <w:r>
        <w:rPr>
          <w:rFonts w:ascii="Times New Roman" w:hAnsi="Times New Roman" w:cs="Times New Roman"/>
          <w:b/>
          <w:sz w:val="24"/>
          <w:szCs w:val="24"/>
          <w:lang w:val="fr-CM"/>
        </w:rPr>
        <w:tab/>
      </w:r>
      <w:r w:rsidRPr="000B4511">
        <w:rPr>
          <w:rFonts w:ascii="Times New Roman" w:hAnsi="Times New Roman" w:cs="Times New Roman"/>
          <w:b/>
          <w:i/>
          <w:sz w:val="24"/>
          <w:szCs w:val="24"/>
          <w:lang w:val="fr-CM"/>
        </w:rPr>
        <w:t>Les approches théoriques de la pauvreté en marketing</w:t>
      </w:r>
    </w:p>
    <w:p w:rsidR="00885E1C" w:rsidRDefault="00885E1C" w:rsidP="00885E1C">
      <w:pPr>
        <w:spacing w:after="0" w:line="360" w:lineRule="auto"/>
        <w:ind w:firstLine="708"/>
        <w:jc w:val="both"/>
        <w:rPr>
          <w:rFonts w:ascii="Times New Roman" w:hAnsi="Times New Roman" w:cs="Times New Roman"/>
          <w:sz w:val="24"/>
          <w:szCs w:val="24"/>
          <w:lang w:val="fr-CM"/>
        </w:rPr>
      </w:pPr>
      <w:r>
        <w:rPr>
          <w:rFonts w:ascii="Times New Roman" w:hAnsi="Times New Roman" w:cs="Times New Roman"/>
          <w:sz w:val="24"/>
          <w:szCs w:val="24"/>
          <w:lang w:val="fr-CM"/>
        </w:rPr>
        <w:t>Inspirée des approches anthropologique et économique, la recherche sur la pauvreté en marketing a généré trois courants de pensée : l’école du bas de la pyramide (</w:t>
      </w:r>
      <w:proofErr w:type="spellStart"/>
      <w:r>
        <w:rPr>
          <w:rFonts w:ascii="Times New Roman" w:hAnsi="Times New Roman" w:cs="Times New Roman"/>
          <w:sz w:val="24"/>
          <w:szCs w:val="24"/>
          <w:lang w:val="fr-CM"/>
        </w:rPr>
        <w:t>Buttom</w:t>
      </w:r>
      <w:proofErr w:type="spellEnd"/>
      <w:r>
        <w:rPr>
          <w:rFonts w:ascii="Times New Roman" w:hAnsi="Times New Roman" w:cs="Times New Roman"/>
          <w:sz w:val="24"/>
          <w:szCs w:val="24"/>
          <w:lang w:val="fr-CM"/>
        </w:rPr>
        <w:t xml:space="preserve"> of Pyramide : </w:t>
      </w:r>
      <w:proofErr w:type="spellStart"/>
      <w:r>
        <w:rPr>
          <w:rFonts w:ascii="Times New Roman" w:hAnsi="Times New Roman" w:cs="Times New Roman"/>
          <w:sz w:val="24"/>
          <w:szCs w:val="24"/>
          <w:lang w:val="fr-CM"/>
        </w:rPr>
        <w:t>BoP</w:t>
      </w:r>
      <w:proofErr w:type="spellEnd"/>
      <w:r>
        <w:rPr>
          <w:rFonts w:ascii="Times New Roman" w:hAnsi="Times New Roman" w:cs="Times New Roman"/>
          <w:sz w:val="24"/>
          <w:szCs w:val="24"/>
          <w:lang w:val="fr-CM"/>
        </w:rPr>
        <w:t xml:space="preserve">), l’école du Social Business et l’école de la Transformative Consumer </w:t>
      </w:r>
      <w:proofErr w:type="spellStart"/>
      <w:r>
        <w:rPr>
          <w:rFonts w:ascii="Times New Roman" w:hAnsi="Times New Roman" w:cs="Times New Roman"/>
          <w:sz w:val="24"/>
          <w:szCs w:val="24"/>
          <w:lang w:val="fr-CM"/>
        </w:rPr>
        <w:t>Research</w:t>
      </w:r>
      <w:proofErr w:type="spellEnd"/>
      <w:r>
        <w:rPr>
          <w:rFonts w:ascii="Times New Roman" w:hAnsi="Times New Roman" w:cs="Times New Roman"/>
          <w:sz w:val="24"/>
          <w:szCs w:val="24"/>
          <w:lang w:val="fr-CM"/>
        </w:rPr>
        <w:t xml:space="preserve"> (TCR) (Gorge &amp; </w:t>
      </w:r>
      <w:proofErr w:type="spellStart"/>
      <w:r>
        <w:rPr>
          <w:rFonts w:ascii="Times New Roman" w:hAnsi="Times New Roman" w:cs="Times New Roman"/>
          <w:sz w:val="24"/>
          <w:szCs w:val="24"/>
          <w:lang w:val="fr-CM"/>
        </w:rPr>
        <w:t>Özçaglar</w:t>
      </w:r>
      <w:proofErr w:type="spellEnd"/>
      <w:r>
        <w:rPr>
          <w:rFonts w:ascii="Times New Roman" w:hAnsi="Times New Roman" w:cs="Times New Roman"/>
          <w:sz w:val="24"/>
          <w:szCs w:val="24"/>
          <w:lang w:val="fr-CM"/>
        </w:rPr>
        <w:t xml:space="preserve">- Toulouse, 2017). </w:t>
      </w:r>
    </w:p>
    <w:p w:rsidR="00885E1C" w:rsidRPr="001E0EB6" w:rsidRDefault="00885E1C" w:rsidP="00885E1C">
      <w:pPr>
        <w:spacing w:after="0" w:line="360" w:lineRule="auto"/>
        <w:jc w:val="both"/>
        <w:rPr>
          <w:rFonts w:ascii="Times New Roman" w:hAnsi="Times New Roman" w:cs="Times New Roman"/>
          <w:i/>
          <w:sz w:val="24"/>
          <w:szCs w:val="24"/>
          <w:lang w:val="fr-CM"/>
        </w:rPr>
      </w:pPr>
      <w:r w:rsidRPr="001E0EB6">
        <w:rPr>
          <w:rFonts w:ascii="Times New Roman" w:hAnsi="Times New Roman" w:cs="Times New Roman"/>
          <w:i/>
          <w:sz w:val="24"/>
          <w:szCs w:val="24"/>
          <w:lang w:val="fr-CM"/>
        </w:rPr>
        <w:t>L’</w:t>
      </w:r>
      <w:r>
        <w:rPr>
          <w:rFonts w:ascii="Times New Roman" w:hAnsi="Times New Roman" w:cs="Times New Roman"/>
          <w:i/>
          <w:sz w:val="24"/>
          <w:szCs w:val="24"/>
          <w:lang w:val="fr-CM"/>
        </w:rPr>
        <w:t>école du b</w:t>
      </w:r>
      <w:r w:rsidRPr="001E0EB6">
        <w:rPr>
          <w:rFonts w:ascii="Times New Roman" w:hAnsi="Times New Roman" w:cs="Times New Roman"/>
          <w:i/>
          <w:sz w:val="24"/>
          <w:szCs w:val="24"/>
          <w:lang w:val="fr-CM"/>
        </w:rPr>
        <w:t>as de la pyramide</w:t>
      </w:r>
    </w:p>
    <w:p w:rsidR="00885E1C" w:rsidRDefault="00885E1C" w:rsidP="00885E1C">
      <w:pPr>
        <w:spacing w:after="0" w:line="360" w:lineRule="auto"/>
        <w:ind w:firstLine="708"/>
        <w:jc w:val="both"/>
        <w:rPr>
          <w:rFonts w:ascii="Times New Roman" w:hAnsi="Times New Roman" w:cs="Times New Roman"/>
          <w:sz w:val="24"/>
          <w:szCs w:val="24"/>
          <w:lang w:val="fr-CM"/>
        </w:rPr>
      </w:pPr>
      <w:r>
        <w:rPr>
          <w:rFonts w:ascii="Times New Roman" w:hAnsi="Times New Roman" w:cs="Times New Roman"/>
          <w:sz w:val="24"/>
          <w:szCs w:val="24"/>
          <w:lang w:val="fr-CM"/>
        </w:rPr>
        <w:t>La première école met en évidence le potentiel de marché que constituent les consommateurs pauvres  (</w:t>
      </w:r>
      <w:proofErr w:type="spellStart"/>
      <w:r>
        <w:rPr>
          <w:rFonts w:ascii="Times New Roman" w:hAnsi="Times New Roman" w:cs="Times New Roman"/>
          <w:sz w:val="24"/>
          <w:szCs w:val="24"/>
          <w:lang w:val="fr-CM"/>
        </w:rPr>
        <w:t>Prahalad</w:t>
      </w:r>
      <w:proofErr w:type="spellEnd"/>
      <w:r>
        <w:rPr>
          <w:rFonts w:ascii="Times New Roman" w:hAnsi="Times New Roman" w:cs="Times New Roman"/>
          <w:sz w:val="24"/>
          <w:szCs w:val="24"/>
          <w:lang w:val="fr-CM"/>
        </w:rPr>
        <w:t xml:space="preserve">, 2004) et souligne la nécessité des organisations d’élaborer des politiques commerciales adaptées aux segments des pauvres (Martinet &amp; </w:t>
      </w:r>
      <w:proofErr w:type="spellStart"/>
      <w:r>
        <w:rPr>
          <w:rFonts w:ascii="Times New Roman" w:hAnsi="Times New Roman" w:cs="Times New Roman"/>
          <w:sz w:val="24"/>
          <w:szCs w:val="24"/>
          <w:lang w:val="fr-CM"/>
        </w:rPr>
        <w:t>Payaud</w:t>
      </w:r>
      <w:proofErr w:type="spellEnd"/>
      <w:r>
        <w:rPr>
          <w:rFonts w:ascii="Times New Roman" w:hAnsi="Times New Roman" w:cs="Times New Roman"/>
          <w:sz w:val="24"/>
          <w:szCs w:val="24"/>
          <w:lang w:val="fr-CM"/>
        </w:rPr>
        <w:t xml:space="preserve">, 2010). Cependant, cette approche ignore le comportement du pauvre en tant que consommateur. </w:t>
      </w:r>
    </w:p>
    <w:p w:rsidR="00885E1C" w:rsidRPr="00A202FF" w:rsidRDefault="00885E1C" w:rsidP="00885E1C">
      <w:pPr>
        <w:spacing w:after="0" w:line="360" w:lineRule="auto"/>
        <w:jc w:val="both"/>
        <w:rPr>
          <w:rFonts w:ascii="Times New Roman" w:hAnsi="Times New Roman" w:cs="Times New Roman"/>
          <w:i/>
          <w:sz w:val="24"/>
          <w:szCs w:val="24"/>
          <w:lang w:val="fr-CM"/>
        </w:rPr>
      </w:pPr>
      <w:r w:rsidRPr="00A202FF">
        <w:rPr>
          <w:rFonts w:ascii="Times New Roman" w:hAnsi="Times New Roman" w:cs="Times New Roman"/>
          <w:i/>
          <w:sz w:val="24"/>
          <w:szCs w:val="24"/>
          <w:lang w:val="fr-CM"/>
        </w:rPr>
        <w:t xml:space="preserve">L’école du Business </w:t>
      </w:r>
      <w:proofErr w:type="spellStart"/>
      <w:r w:rsidRPr="00A202FF">
        <w:rPr>
          <w:rFonts w:ascii="Times New Roman" w:hAnsi="Times New Roman" w:cs="Times New Roman"/>
          <w:i/>
          <w:sz w:val="24"/>
          <w:szCs w:val="24"/>
          <w:lang w:val="fr-CM"/>
        </w:rPr>
        <w:t>School</w:t>
      </w:r>
      <w:proofErr w:type="spellEnd"/>
    </w:p>
    <w:p w:rsidR="00885E1C" w:rsidRDefault="00885E1C" w:rsidP="00885E1C">
      <w:pPr>
        <w:spacing w:after="0" w:line="360" w:lineRule="auto"/>
        <w:ind w:firstLine="708"/>
        <w:jc w:val="both"/>
        <w:rPr>
          <w:rFonts w:ascii="Times New Roman" w:hAnsi="Times New Roman" w:cs="Times New Roman"/>
          <w:sz w:val="24"/>
          <w:szCs w:val="24"/>
          <w:lang w:val="fr-CM"/>
        </w:rPr>
      </w:pPr>
      <w:r>
        <w:rPr>
          <w:rFonts w:ascii="Times New Roman" w:hAnsi="Times New Roman" w:cs="Times New Roman"/>
          <w:sz w:val="24"/>
          <w:szCs w:val="24"/>
          <w:lang w:val="fr-CM"/>
        </w:rPr>
        <w:t xml:space="preserve">L’école du Business </w:t>
      </w:r>
      <w:proofErr w:type="spellStart"/>
      <w:r>
        <w:rPr>
          <w:rFonts w:ascii="Times New Roman" w:hAnsi="Times New Roman" w:cs="Times New Roman"/>
          <w:sz w:val="24"/>
          <w:szCs w:val="24"/>
          <w:lang w:val="fr-CM"/>
        </w:rPr>
        <w:t>School</w:t>
      </w:r>
      <w:proofErr w:type="spellEnd"/>
      <w:r>
        <w:rPr>
          <w:rFonts w:ascii="Times New Roman" w:hAnsi="Times New Roman" w:cs="Times New Roman"/>
          <w:sz w:val="24"/>
          <w:szCs w:val="24"/>
          <w:lang w:val="fr-CM"/>
        </w:rPr>
        <w:t xml:space="preserve"> vient combler cette insuffisance en mettant d’abord l’accent sur le rôle de l’entrepreneuriat individuel dans la lutte contre la pauvreté (</w:t>
      </w:r>
      <w:proofErr w:type="spellStart"/>
      <w:r>
        <w:rPr>
          <w:rFonts w:ascii="Times New Roman" w:hAnsi="Times New Roman" w:cs="Times New Roman"/>
          <w:sz w:val="24"/>
          <w:szCs w:val="24"/>
          <w:lang w:val="fr-CM"/>
        </w:rPr>
        <w:t>Raim</w:t>
      </w:r>
      <w:proofErr w:type="spellEnd"/>
      <w:r>
        <w:rPr>
          <w:rFonts w:ascii="Times New Roman" w:hAnsi="Times New Roman" w:cs="Times New Roman"/>
          <w:sz w:val="24"/>
          <w:szCs w:val="24"/>
          <w:lang w:val="fr-CM"/>
        </w:rPr>
        <w:t xml:space="preserve">, 2011). Il est également question de proposer des biens et services adaptés aux personnes pauvres, tout en déclinant une démarche à suivre pour mener à bien le Social Business. Si les approches du </w:t>
      </w:r>
      <w:proofErr w:type="spellStart"/>
      <w:r>
        <w:rPr>
          <w:rFonts w:ascii="Times New Roman" w:hAnsi="Times New Roman" w:cs="Times New Roman"/>
          <w:sz w:val="24"/>
          <w:szCs w:val="24"/>
          <w:lang w:val="fr-CM"/>
        </w:rPr>
        <w:t>BoP</w:t>
      </w:r>
      <w:proofErr w:type="spellEnd"/>
      <w:r>
        <w:rPr>
          <w:rFonts w:ascii="Times New Roman" w:hAnsi="Times New Roman" w:cs="Times New Roman"/>
          <w:sz w:val="24"/>
          <w:szCs w:val="24"/>
          <w:lang w:val="fr-CM"/>
        </w:rPr>
        <w:t xml:space="preserve"> et de la Business </w:t>
      </w:r>
      <w:proofErr w:type="spellStart"/>
      <w:r>
        <w:rPr>
          <w:rFonts w:ascii="Times New Roman" w:hAnsi="Times New Roman" w:cs="Times New Roman"/>
          <w:sz w:val="24"/>
          <w:szCs w:val="24"/>
          <w:lang w:val="fr-CM"/>
        </w:rPr>
        <w:t>School</w:t>
      </w:r>
      <w:proofErr w:type="spellEnd"/>
      <w:r>
        <w:rPr>
          <w:rFonts w:ascii="Times New Roman" w:hAnsi="Times New Roman" w:cs="Times New Roman"/>
          <w:sz w:val="24"/>
          <w:szCs w:val="24"/>
          <w:lang w:val="fr-CM"/>
        </w:rPr>
        <w:t xml:space="preserve"> sont voisines du point de vue de leur finalité, c’est-à-dire de la proposition des offres adaptées aux consommateurs pauvres, elles diffèrent néanmoins en ce qui concerne la rentabilité et donc la maximisation du profit n’est pas l’objectif recherché dans le second cas. De plus, bien que la satisfaction des consommateurs pauvres demeure la finalité de tous ces courants de pensée, l’école de la TCR place l’amélioration du bien-être de ces derniers au centre de la réflexion (Mick &amp; Al, 2011). </w:t>
      </w:r>
    </w:p>
    <w:p w:rsidR="00885E1C" w:rsidRPr="00153DDB" w:rsidRDefault="00885E1C" w:rsidP="00885E1C">
      <w:pPr>
        <w:spacing w:after="0" w:line="360" w:lineRule="auto"/>
        <w:jc w:val="both"/>
        <w:rPr>
          <w:rFonts w:ascii="Times New Roman" w:hAnsi="Times New Roman" w:cs="Times New Roman"/>
          <w:i/>
          <w:sz w:val="24"/>
          <w:szCs w:val="24"/>
          <w:lang w:val="fr-CM"/>
        </w:rPr>
      </w:pPr>
      <w:r w:rsidRPr="00153DDB">
        <w:rPr>
          <w:rFonts w:ascii="Times New Roman" w:hAnsi="Times New Roman" w:cs="Times New Roman"/>
          <w:i/>
          <w:sz w:val="24"/>
          <w:szCs w:val="24"/>
          <w:lang w:val="fr-CM"/>
        </w:rPr>
        <w:t>L</w:t>
      </w:r>
      <w:r>
        <w:rPr>
          <w:rFonts w:ascii="Times New Roman" w:hAnsi="Times New Roman" w:cs="Times New Roman"/>
          <w:i/>
          <w:sz w:val="24"/>
          <w:szCs w:val="24"/>
          <w:lang w:val="fr-CM"/>
        </w:rPr>
        <w:t>’</w:t>
      </w:r>
      <w:r w:rsidRPr="00153DDB">
        <w:rPr>
          <w:rFonts w:ascii="Times New Roman" w:hAnsi="Times New Roman" w:cs="Times New Roman"/>
          <w:i/>
          <w:sz w:val="24"/>
          <w:szCs w:val="24"/>
          <w:lang w:val="fr-CM"/>
        </w:rPr>
        <w:t xml:space="preserve">école de la Transformative Consumer </w:t>
      </w:r>
      <w:proofErr w:type="spellStart"/>
      <w:r w:rsidRPr="00153DDB">
        <w:rPr>
          <w:rFonts w:ascii="Times New Roman" w:hAnsi="Times New Roman" w:cs="Times New Roman"/>
          <w:i/>
          <w:sz w:val="24"/>
          <w:szCs w:val="24"/>
          <w:lang w:val="fr-CM"/>
        </w:rPr>
        <w:t>Research</w:t>
      </w:r>
      <w:proofErr w:type="spellEnd"/>
    </w:p>
    <w:p w:rsidR="00885E1C" w:rsidRDefault="00885E1C" w:rsidP="00885E1C">
      <w:pPr>
        <w:spacing w:after="0" w:line="360" w:lineRule="auto"/>
        <w:ind w:firstLine="708"/>
        <w:jc w:val="both"/>
        <w:rPr>
          <w:rFonts w:ascii="Times New Roman" w:hAnsi="Times New Roman" w:cs="Times New Roman"/>
          <w:sz w:val="24"/>
          <w:szCs w:val="24"/>
          <w:lang w:val="fr-CM"/>
        </w:rPr>
      </w:pPr>
      <w:r>
        <w:rPr>
          <w:rFonts w:ascii="Times New Roman" w:hAnsi="Times New Roman" w:cs="Times New Roman"/>
          <w:sz w:val="24"/>
          <w:szCs w:val="24"/>
          <w:lang w:val="fr-CM"/>
        </w:rPr>
        <w:lastRenderedPageBreak/>
        <w:t>En effet, la TCR analyse la multi dimensionnalité de la pauvreté (</w:t>
      </w:r>
      <w:proofErr w:type="spellStart"/>
      <w:r>
        <w:rPr>
          <w:rFonts w:ascii="Times New Roman" w:hAnsi="Times New Roman" w:cs="Times New Roman"/>
          <w:sz w:val="24"/>
          <w:szCs w:val="24"/>
          <w:lang w:val="fr-CM"/>
        </w:rPr>
        <w:t>Blocker</w:t>
      </w:r>
      <w:proofErr w:type="spellEnd"/>
      <w:r>
        <w:rPr>
          <w:rFonts w:ascii="Times New Roman" w:hAnsi="Times New Roman" w:cs="Times New Roman"/>
          <w:sz w:val="24"/>
          <w:szCs w:val="24"/>
          <w:lang w:val="fr-CM"/>
        </w:rPr>
        <w:t xml:space="preserve"> &amp; Al, 2013) pour adapter les stratégies en fonction du degré de pauvreté. Ce courant de pensée cherche, en outre, à cerner les expériences de consommations vécues par les consommateurs pauvres (Gorge &amp; </w:t>
      </w:r>
      <w:proofErr w:type="spellStart"/>
      <w:r>
        <w:rPr>
          <w:rFonts w:ascii="Times New Roman" w:hAnsi="Times New Roman" w:cs="Times New Roman"/>
          <w:sz w:val="24"/>
          <w:szCs w:val="24"/>
          <w:lang w:val="fr-CM"/>
        </w:rPr>
        <w:t>Özçaglar</w:t>
      </w:r>
      <w:proofErr w:type="spellEnd"/>
      <w:r>
        <w:rPr>
          <w:rFonts w:ascii="Times New Roman" w:hAnsi="Times New Roman" w:cs="Times New Roman"/>
          <w:sz w:val="24"/>
          <w:szCs w:val="24"/>
          <w:lang w:val="fr-CM"/>
        </w:rPr>
        <w:t>-Toulouse, 2013) ainsi que les ressentis de l’exclusion et la vulnérabilité (Hamilton &amp; Al, 2015). La TCR propose également de  s’appuyer sur le secteur informel pour mieux servir certains sous-segments de consommateurs pauvres (</w:t>
      </w:r>
      <w:proofErr w:type="spellStart"/>
      <w:r>
        <w:rPr>
          <w:rFonts w:ascii="Times New Roman" w:hAnsi="Times New Roman" w:cs="Times New Roman"/>
          <w:sz w:val="24"/>
          <w:szCs w:val="24"/>
          <w:lang w:val="fr-CM"/>
        </w:rPr>
        <w:t>Rangan</w:t>
      </w:r>
      <w:proofErr w:type="spellEnd"/>
      <w:r>
        <w:rPr>
          <w:rFonts w:ascii="Times New Roman" w:hAnsi="Times New Roman" w:cs="Times New Roman"/>
          <w:sz w:val="24"/>
          <w:szCs w:val="24"/>
          <w:lang w:val="fr-CM"/>
        </w:rPr>
        <w:t xml:space="preserve"> &amp; Al, 2011). Notre recherche est ancrée sur cette dernière approche et se focalise sur le processus décisionnel du consommateur pauvre dans un environnement spécifique : un environnement caractérisé à la fois par la proximité des populations, la  prédominance des coutumes et traditions et une multiplicité des normes sociales, variables déterminantes dans la décision de choix des consommateurs. </w:t>
      </w:r>
    </w:p>
    <w:p w:rsidR="00885E1C" w:rsidRPr="0043413E" w:rsidRDefault="00885E1C" w:rsidP="00885E1C">
      <w:pPr>
        <w:spacing w:after="0" w:line="360" w:lineRule="auto"/>
        <w:jc w:val="both"/>
        <w:rPr>
          <w:rFonts w:ascii="Times New Roman" w:hAnsi="Times New Roman" w:cs="Times New Roman"/>
          <w:sz w:val="24"/>
          <w:szCs w:val="24"/>
          <w:lang w:val="fr-CM"/>
        </w:rPr>
      </w:pPr>
      <w:r>
        <w:rPr>
          <w:rFonts w:ascii="Times New Roman" w:hAnsi="Times New Roman" w:cs="Times New Roman"/>
          <w:b/>
          <w:i/>
          <w:sz w:val="24"/>
          <w:szCs w:val="24"/>
          <w:lang w:val="fr-CM"/>
        </w:rPr>
        <w:t>Les variables explicatives du comportement de consommation du pauvre</w:t>
      </w:r>
      <w:r>
        <w:rPr>
          <w:rFonts w:ascii="Times New Roman" w:hAnsi="Times New Roman" w:cs="Times New Roman"/>
          <w:sz w:val="24"/>
          <w:szCs w:val="24"/>
          <w:lang w:val="fr-CM"/>
        </w:rPr>
        <w:tab/>
      </w:r>
    </w:p>
    <w:p w:rsidR="00885E1C" w:rsidRPr="000B4511" w:rsidRDefault="00885E1C" w:rsidP="00885E1C">
      <w:pPr>
        <w:spacing w:after="0" w:line="360" w:lineRule="auto"/>
        <w:ind w:firstLine="708"/>
        <w:jc w:val="both"/>
        <w:rPr>
          <w:rFonts w:ascii="Times New Roman" w:hAnsi="Times New Roman" w:cs="Times New Roman"/>
          <w:sz w:val="24"/>
          <w:szCs w:val="24"/>
          <w:lang w:val="fr-CM"/>
        </w:rPr>
      </w:pPr>
      <w:r w:rsidRPr="000B4511">
        <w:rPr>
          <w:rFonts w:ascii="Times New Roman" w:hAnsi="Times New Roman" w:cs="Times New Roman"/>
          <w:sz w:val="24"/>
          <w:szCs w:val="24"/>
        </w:rPr>
        <w:t xml:space="preserve">Quatre variables idiosyncratiques sont susceptibles d’expliquer l’adoption de comportements de consommation par le pauvre : </w:t>
      </w:r>
      <w:r>
        <w:rPr>
          <w:rFonts w:ascii="Times New Roman" w:hAnsi="Times New Roman" w:cs="Times New Roman"/>
          <w:sz w:val="24"/>
          <w:szCs w:val="24"/>
        </w:rPr>
        <w:t>les normes sociales, la force de l’identité ethnique</w:t>
      </w:r>
      <w:r w:rsidRPr="000B4511">
        <w:rPr>
          <w:rFonts w:ascii="Times New Roman" w:hAnsi="Times New Roman" w:cs="Times New Roman"/>
          <w:sz w:val="24"/>
          <w:szCs w:val="24"/>
        </w:rPr>
        <w:t>, la relig</w:t>
      </w:r>
      <w:r>
        <w:rPr>
          <w:rFonts w:ascii="Times New Roman" w:hAnsi="Times New Roman" w:cs="Times New Roman"/>
          <w:sz w:val="24"/>
          <w:szCs w:val="24"/>
        </w:rPr>
        <w:t xml:space="preserve">ion </w:t>
      </w:r>
      <w:r w:rsidRPr="000B4511">
        <w:rPr>
          <w:rFonts w:ascii="Times New Roman" w:hAnsi="Times New Roman" w:cs="Times New Roman"/>
          <w:sz w:val="24"/>
          <w:szCs w:val="24"/>
        </w:rPr>
        <w:t xml:space="preserve"> et les traditions.</w:t>
      </w:r>
      <w:r w:rsidRPr="000B4511">
        <w:rPr>
          <w:rFonts w:ascii="Times New Roman" w:hAnsi="Times New Roman" w:cs="Times New Roman"/>
          <w:sz w:val="24"/>
          <w:szCs w:val="24"/>
        </w:rPr>
        <w:tab/>
        <w:t xml:space="preserve"> </w:t>
      </w:r>
    </w:p>
    <w:p w:rsidR="00885E1C" w:rsidRDefault="00885E1C" w:rsidP="00885E1C">
      <w:pPr>
        <w:spacing w:after="0" w:line="360" w:lineRule="auto"/>
        <w:jc w:val="both"/>
        <w:rPr>
          <w:rFonts w:ascii="Times New Roman" w:hAnsi="Times New Roman" w:cs="Times New Roman"/>
          <w:i/>
          <w:sz w:val="24"/>
          <w:szCs w:val="24"/>
          <w:lang w:val="fr-CM"/>
        </w:rPr>
      </w:pPr>
      <w:r>
        <w:rPr>
          <w:rFonts w:ascii="Times New Roman" w:hAnsi="Times New Roman" w:cs="Times New Roman"/>
          <w:i/>
          <w:sz w:val="24"/>
          <w:szCs w:val="24"/>
          <w:lang w:val="fr-CM"/>
        </w:rPr>
        <w:t>La théorie de la socialisation par le groupe de pairs : la norme sociale comme cadre de référence de choix du consommateur pauvre</w:t>
      </w:r>
    </w:p>
    <w:p w:rsidR="00885E1C" w:rsidRDefault="00885E1C" w:rsidP="00885E1C">
      <w:pPr>
        <w:autoSpaceDE w:val="0"/>
        <w:autoSpaceDN w:val="0"/>
        <w:adjustRightInd w:val="0"/>
        <w:spacing w:after="0" w:line="360" w:lineRule="auto"/>
        <w:ind w:firstLine="708"/>
        <w:jc w:val="both"/>
        <w:rPr>
          <w:rFonts w:ascii="Times New Roman" w:hAnsi="Times New Roman" w:cs="Times New Roman"/>
          <w:color w:val="1A1E21"/>
          <w:sz w:val="24"/>
          <w:szCs w:val="24"/>
        </w:rPr>
      </w:pPr>
      <w:r w:rsidRPr="000B4511">
        <w:rPr>
          <w:rFonts w:ascii="Times New Roman" w:hAnsi="Times New Roman" w:cs="Times New Roman"/>
          <w:color w:val="1A1E21"/>
          <w:sz w:val="24"/>
          <w:szCs w:val="24"/>
        </w:rPr>
        <w:t xml:space="preserve">Selon </w:t>
      </w:r>
      <w:proofErr w:type="spellStart"/>
      <w:r w:rsidRPr="000B4511">
        <w:rPr>
          <w:rFonts w:ascii="Times New Roman" w:hAnsi="Times New Roman" w:cs="Times New Roman"/>
          <w:color w:val="1A1E21"/>
          <w:sz w:val="24"/>
          <w:szCs w:val="24"/>
        </w:rPr>
        <w:t>Muratore</w:t>
      </w:r>
      <w:proofErr w:type="spellEnd"/>
      <w:r w:rsidRPr="000B4511">
        <w:rPr>
          <w:rFonts w:ascii="Times New Roman" w:hAnsi="Times New Roman" w:cs="Times New Roman"/>
          <w:color w:val="1A1E21"/>
          <w:sz w:val="24"/>
          <w:szCs w:val="24"/>
        </w:rPr>
        <w:t xml:space="preserve"> (2008), l</w:t>
      </w:r>
      <w:r w:rsidRPr="000B4511">
        <w:rPr>
          <w:rFonts w:ascii="Times New Roman" w:hAnsi="Times New Roman" w:cs="Times New Roman"/>
          <w:color w:val="33373C"/>
          <w:sz w:val="24"/>
          <w:szCs w:val="24"/>
        </w:rPr>
        <w:t>'</w:t>
      </w:r>
      <w:r w:rsidRPr="000B4511">
        <w:rPr>
          <w:rFonts w:ascii="Times New Roman" w:hAnsi="Times New Roman" w:cs="Times New Roman"/>
          <w:color w:val="1A1E21"/>
          <w:sz w:val="24"/>
          <w:szCs w:val="24"/>
        </w:rPr>
        <w:t>individu appartient à des groupes et rechercherait une ressemblance avec ses pairs dans ses décisions de choix</w:t>
      </w:r>
      <w:r w:rsidRPr="000B4511">
        <w:rPr>
          <w:rFonts w:ascii="Times New Roman" w:hAnsi="Times New Roman" w:cs="Times New Roman"/>
          <w:color w:val="33373C"/>
          <w:sz w:val="24"/>
          <w:szCs w:val="24"/>
        </w:rPr>
        <w:t xml:space="preserve">. </w:t>
      </w:r>
      <w:r w:rsidRPr="000B4511">
        <w:rPr>
          <w:rFonts w:ascii="Times New Roman" w:hAnsi="Times New Roman" w:cs="Times New Roman"/>
          <w:sz w:val="24"/>
          <w:szCs w:val="24"/>
        </w:rPr>
        <w:t>Ainsi, il prend des décisions en conformité avec</w:t>
      </w:r>
      <w:r w:rsidRPr="000B4511">
        <w:rPr>
          <w:rFonts w:ascii="Times New Roman" w:hAnsi="Times New Roman" w:cs="Times New Roman"/>
          <w:color w:val="1A1E21"/>
          <w:sz w:val="24"/>
          <w:szCs w:val="24"/>
        </w:rPr>
        <w:t xml:space="preserve">  ce que pensent les membres  de ses groupes</w:t>
      </w:r>
      <w:r w:rsidRPr="000B4511">
        <w:rPr>
          <w:rFonts w:ascii="Times New Roman" w:hAnsi="Times New Roman" w:cs="Times New Roman"/>
          <w:color w:val="33373C"/>
          <w:sz w:val="24"/>
          <w:szCs w:val="24"/>
        </w:rPr>
        <w:t xml:space="preserve"> et s</w:t>
      </w:r>
      <w:r w:rsidRPr="000B4511">
        <w:rPr>
          <w:rFonts w:ascii="Times New Roman" w:hAnsi="Times New Roman" w:cs="Times New Roman"/>
          <w:color w:val="1A1E21"/>
          <w:sz w:val="24"/>
          <w:szCs w:val="24"/>
        </w:rPr>
        <w:t>on c</w:t>
      </w:r>
      <w:r w:rsidRPr="000B4511">
        <w:rPr>
          <w:rFonts w:ascii="Times New Roman" w:hAnsi="Times New Roman" w:cs="Times New Roman"/>
          <w:color w:val="33373C"/>
          <w:sz w:val="24"/>
          <w:szCs w:val="24"/>
        </w:rPr>
        <w:t>o</w:t>
      </w:r>
      <w:r w:rsidRPr="000B4511">
        <w:rPr>
          <w:rFonts w:ascii="Times New Roman" w:hAnsi="Times New Roman" w:cs="Times New Roman"/>
          <w:color w:val="1A1E21"/>
          <w:sz w:val="24"/>
          <w:szCs w:val="24"/>
        </w:rPr>
        <w:t>mport</w:t>
      </w:r>
      <w:r w:rsidRPr="000B4511">
        <w:rPr>
          <w:rFonts w:ascii="Times New Roman" w:hAnsi="Times New Roman" w:cs="Times New Roman"/>
          <w:color w:val="33373C"/>
          <w:sz w:val="24"/>
          <w:szCs w:val="24"/>
        </w:rPr>
        <w:t>e</w:t>
      </w:r>
      <w:r w:rsidRPr="000B4511">
        <w:rPr>
          <w:rFonts w:ascii="Times New Roman" w:hAnsi="Times New Roman" w:cs="Times New Roman"/>
          <w:color w:val="1A1E21"/>
          <w:sz w:val="24"/>
          <w:szCs w:val="24"/>
        </w:rPr>
        <w:t xml:space="preserve">ment </w:t>
      </w:r>
      <w:r w:rsidRPr="000B4511">
        <w:rPr>
          <w:rFonts w:ascii="Times New Roman" w:hAnsi="Times New Roman" w:cs="Times New Roman"/>
          <w:color w:val="33373C"/>
          <w:sz w:val="24"/>
          <w:szCs w:val="24"/>
        </w:rPr>
        <w:t>es</w:t>
      </w:r>
      <w:r w:rsidRPr="000B4511">
        <w:rPr>
          <w:rFonts w:ascii="Times New Roman" w:hAnsi="Times New Roman" w:cs="Times New Roman"/>
          <w:color w:val="1A1E21"/>
          <w:sz w:val="24"/>
          <w:szCs w:val="24"/>
        </w:rPr>
        <w:t>t influencé par ces</w:t>
      </w:r>
      <w:r w:rsidRPr="000B4511">
        <w:rPr>
          <w:rFonts w:ascii="Times New Roman" w:hAnsi="Times New Roman" w:cs="Times New Roman"/>
          <w:color w:val="33373C"/>
          <w:sz w:val="24"/>
          <w:szCs w:val="24"/>
        </w:rPr>
        <w:t xml:space="preserve"> </w:t>
      </w:r>
      <w:r w:rsidRPr="000B4511">
        <w:rPr>
          <w:rFonts w:ascii="Times New Roman" w:hAnsi="Times New Roman" w:cs="Times New Roman"/>
          <w:color w:val="1A1E21"/>
          <w:sz w:val="24"/>
          <w:szCs w:val="24"/>
        </w:rPr>
        <w:t xml:space="preserve"> norme</w:t>
      </w:r>
      <w:r w:rsidRPr="000B4511">
        <w:rPr>
          <w:rFonts w:ascii="Times New Roman" w:hAnsi="Times New Roman" w:cs="Times New Roman"/>
          <w:color w:val="33373C"/>
          <w:sz w:val="24"/>
          <w:szCs w:val="24"/>
        </w:rPr>
        <w:t>s s</w:t>
      </w:r>
      <w:r w:rsidRPr="000B4511">
        <w:rPr>
          <w:rFonts w:ascii="Times New Roman" w:hAnsi="Times New Roman" w:cs="Times New Roman"/>
          <w:color w:val="1A1E21"/>
          <w:sz w:val="24"/>
          <w:szCs w:val="24"/>
        </w:rPr>
        <w:t>oci</w:t>
      </w:r>
      <w:r w:rsidRPr="000B4511">
        <w:rPr>
          <w:rFonts w:ascii="Times New Roman" w:hAnsi="Times New Roman" w:cs="Times New Roman"/>
          <w:color w:val="33373C"/>
          <w:sz w:val="24"/>
          <w:szCs w:val="24"/>
        </w:rPr>
        <w:t>a</w:t>
      </w:r>
      <w:r w:rsidRPr="000B4511">
        <w:rPr>
          <w:rFonts w:ascii="Times New Roman" w:hAnsi="Times New Roman" w:cs="Times New Roman"/>
          <w:color w:val="1A1E21"/>
          <w:sz w:val="24"/>
          <w:szCs w:val="24"/>
        </w:rPr>
        <w:t>le</w:t>
      </w:r>
      <w:r w:rsidRPr="000B4511">
        <w:rPr>
          <w:rFonts w:ascii="Times New Roman" w:hAnsi="Times New Roman" w:cs="Times New Roman"/>
          <w:color w:val="33373C"/>
          <w:sz w:val="24"/>
          <w:szCs w:val="24"/>
        </w:rPr>
        <w:t>s»</w:t>
      </w:r>
      <w:r w:rsidRPr="000B4511">
        <w:rPr>
          <w:rFonts w:ascii="Times New Roman" w:hAnsi="Times New Roman" w:cs="Times New Roman"/>
          <w:color w:val="1A1E21"/>
          <w:sz w:val="24"/>
          <w:szCs w:val="24"/>
        </w:rPr>
        <w:t xml:space="preserve">. Cette théorie corrobore la théorie du comportement planifié de </w:t>
      </w:r>
      <w:r w:rsidRPr="000B4511">
        <w:rPr>
          <w:rFonts w:ascii="Times New Roman" w:hAnsi="Times New Roman" w:cs="Times New Roman"/>
          <w:color w:val="000006"/>
          <w:sz w:val="24"/>
          <w:szCs w:val="24"/>
        </w:rPr>
        <w:t xml:space="preserve"> </w:t>
      </w:r>
      <w:r w:rsidRPr="000B4511">
        <w:rPr>
          <w:rFonts w:ascii="Times New Roman" w:hAnsi="Times New Roman" w:cs="Times New Roman"/>
          <w:color w:val="1A1E21"/>
          <w:sz w:val="24"/>
          <w:szCs w:val="24"/>
        </w:rPr>
        <w:t>Elles correspondent aussi aux normes subjecti</w:t>
      </w:r>
      <w:r w:rsidRPr="000B4511">
        <w:rPr>
          <w:rFonts w:ascii="Times New Roman" w:hAnsi="Times New Roman" w:cs="Times New Roman"/>
          <w:color w:val="33373C"/>
          <w:sz w:val="24"/>
          <w:szCs w:val="24"/>
        </w:rPr>
        <w:t>v</w:t>
      </w:r>
      <w:r w:rsidRPr="000B4511">
        <w:rPr>
          <w:rFonts w:ascii="Times New Roman" w:hAnsi="Times New Roman" w:cs="Times New Roman"/>
          <w:color w:val="1A1E21"/>
          <w:sz w:val="24"/>
          <w:szCs w:val="24"/>
        </w:rPr>
        <w:t>es de la théorie d</w:t>
      </w:r>
      <w:r w:rsidRPr="000B4511">
        <w:rPr>
          <w:rFonts w:ascii="Times New Roman" w:hAnsi="Times New Roman" w:cs="Times New Roman"/>
          <w:color w:val="33373C"/>
          <w:sz w:val="24"/>
          <w:szCs w:val="24"/>
        </w:rPr>
        <w:t>'</w:t>
      </w:r>
      <w:proofErr w:type="spellStart"/>
      <w:r w:rsidRPr="000B4511">
        <w:rPr>
          <w:rFonts w:ascii="Times New Roman" w:hAnsi="Times New Roman" w:cs="Times New Roman"/>
          <w:color w:val="1A1E21"/>
          <w:sz w:val="24"/>
          <w:szCs w:val="24"/>
        </w:rPr>
        <w:t>Aj</w:t>
      </w:r>
      <w:r w:rsidRPr="000B4511">
        <w:rPr>
          <w:rFonts w:ascii="Times New Roman" w:hAnsi="Times New Roman" w:cs="Times New Roman"/>
          <w:color w:val="33373C"/>
          <w:sz w:val="24"/>
          <w:szCs w:val="24"/>
        </w:rPr>
        <w:t>z</w:t>
      </w:r>
      <w:r w:rsidRPr="000B4511">
        <w:rPr>
          <w:rFonts w:ascii="Times New Roman" w:hAnsi="Times New Roman" w:cs="Times New Roman"/>
          <w:color w:val="1A1E21"/>
          <w:sz w:val="24"/>
          <w:szCs w:val="24"/>
        </w:rPr>
        <w:t>en</w:t>
      </w:r>
      <w:proofErr w:type="spellEnd"/>
      <w:r>
        <w:rPr>
          <w:rFonts w:ascii="Times New Roman" w:hAnsi="Times New Roman" w:cs="Times New Roman"/>
          <w:color w:val="1A1E21"/>
          <w:sz w:val="24"/>
          <w:szCs w:val="24"/>
        </w:rPr>
        <w:t xml:space="preserve"> (1991</w:t>
      </w:r>
      <w:r w:rsidRPr="000B4511">
        <w:rPr>
          <w:rFonts w:ascii="Times New Roman" w:hAnsi="Times New Roman" w:cs="Times New Roman"/>
          <w:color w:val="1A1E21"/>
          <w:sz w:val="24"/>
          <w:szCs w:val="24"/>
        </w:rPr>
        <w:t>)</w:t>
      </w:r>
      <w:r w:rsidRPr="000B4511">
        <w:rPr>
          <w:rFonts w:ascii="Times New Roman" w:hAnsi="Times New Roman" w:cs="Times New Roman"/>
          <w:color w:val="33373C"/>
          <w:sz w:val="24"/>
          <w:szCs w:val="24"/>
        </w:rPr>
        <w:t xml:space="preserve">, </w:t>
      </w:r>
      <w:r w:rsidRPr="000B4511">
        <w:rPr>
          <w:rFonts w:ascii="Times New Roman" w:hAnsi="Times New Roman" w:cs="Times New Roman"/>
          <w:color w:val="1A1E21"/>
          <w:sz w:val="24"/>
          <w:szCs w:val="24"/>
        </w:rPr>
        <w:t xml:space="preserve">qui </w:t>
      </w:r>
      <w:r w:rsidRPr="000B4511">
        <w:rPr>
          <w:rFonts w:ascii="Times New Roman" w:hAnsi="Times New Roman" w:cs="Times New Roman"/>
          <w:color w:val="33373C"/>
          <w:sz w:val="24"/>
          <w:szCs w:val="24"/>
        </w:rPr>
        <w:t>s</w:t>
      </w:r>
      <w:r w:rsidRPr="000B4511">
        <w:rPr>
          <w:rFonts w:ascii="Times New Roman" w:hAnsi="Times New Roman" w:cs="Times New Roman"/>
          <w:color w:val="1A1E21"/>
          <w:sz w:val="24"/>
          <w:szCs w:val="24"/>
        </w:rPr>
        <w:t>tipul</w:t>
      </w:r>
      <w:r w:rsidRPr="000B4511">
        <w:rPr>
          <w:rFonts w:ascii="Times New Roman" w:hAnsi="Times New Roman" w:cs="Times New Roman"/>
          <w:color w:val="33373C"/>
          <w:sz w:val="24"/>
          <w:szCs w:val="24"/>
        </w:rPr>
        <w:t xml:space="preserve">e </w:t>
      </w:r>
      <w:r w:rsidRPr="000B4511">
        <w:rPr>
          <w:rFonts w:ascii="Times New Roman" w:hAnsi="Times New Roman" w:cs="Times New Roman"/>
          <w:color w:val="1A1E21"/>
          <w:sz w:val="24"/>
          <w:szCs w:val="24"/>
        </w:rPr>
        <w:t>qu</w:t>
      </w:r>
      <w:r w:rsidRPr="000B4511">
        <w:rPr>
          <w:rFonts w:ascii="Times New Roman" w:hAnsi="Times New Roman" w:cs="Times New Roman"/>
          <w:color w:val="33373C"/>
          <w:sz w:val="24"/>
          <w:szCs w:val="24"/>
        </w:rPr>
        <w:t xml:space="preserve">e </w:t>
      </w:r>
      <w:r w:rsidRPr="000B4511">
        <w:rPr>
          <w:rFonts w:ascii="Times New Roman" w:hAnsi="Times New Roman" w:cs="Times New Roman"/>
          <w:color w:val="1A1E21"/>
          <w:sz w:val="24"/>
          <w:szCs w:val="24"/>
        </w:rPr>
        <w:t xml:space="preserve">le </w:t>
      </w:r>
      <w:r w:rsidRPr="000B4511">
        <w:rPr>
          <w:rFonts w:ascii="Times New Roman" w:hAnsi="Times New Roman" w:cs="Times New Roman"/>
          <w:color w:val="33373C"/>
          <w:sz w:val="24"/>
          <w:szCs w:val="24"/>
        </w:rPr>
        <w:t>c</w:t>
      </w:r>
      <w:r w:rsidRPr="000B4511">
        <w:rPr>
          <w:rFonts w:ascii="Times New Roman" w:hAnsi="Times New Roman" w:cs="Times New Roman"/>
          <w:color w:val="1A1E21"/>
          <w:sz w:val="24"/>
          <w:szCs w:val="24"/>
        </w:rPr>
        <w:t>omportement d</w:t>
      </w:r>
      <w:r w:rsidRPr="000B4511">
        <w:rPr>
          <w:rFonts w:ascii="Times New Roman" w:hAnsi="Times New Roman" w:cs="Times New Roman"/>
          <w:color w:val="33373C"/>
          <w:sz w:val="24"/>
          <w:szCs w:val="24"/>
        </w:rPr>
        <w:t>'</w:t>
      </w:r>
      <w:r w:rsidRPr="000B4511">
        <w:rPr>
          <w:rFonts w:ascii="Times New Roman" w:hAnsi="Times New Roman" w:cs="Times New Roman"/>
          <w:color w:val="1A1E21"/>
          <w:sz w:val="24"/>
          <w:szCs w:val="24"/>
        </w:rPr>
        <w:t>une personne serait déterminé par son attitude, les normes subjectives son intention comport</w:t>
      </w:r>
      <w:r w:rsidRPr="000B4511">
        <w:rPr>
          <w:rFonts w:ascii="Times New Roman" w:hAnsi="Times New Roman" w:cs="Times New Roman"/>
          <w:color w:val="33373C"/>
          <w:sz w:val="24"/>
          <w:szCs w:val="24"/>
        </w:rPr>
        <w:t>e</w:t>
      </w:r>
      <w:r w:rsidRPr="000B4511">
        <w:rPr>
          <w:rFonts w:ascii="Times New Roman" w:hAnsi="Times New Roman" w:cs="Times New Roman"/>
          <w:color w:val="1A1E21"/>
          <w:sz w:val="24"/>
          <w:szCs w:val="24"/>
        </w:rPr>
        <w:t>m</w:t>
      </w:r>
      <w:r w:rsidRPr="000B4511">
        <w:rPr>
          <w:rFonts w:ascii="Times New Roman" w:hAnsi="Times New Roman" w:cs="Times New Roman"/>
          <w:color w:val="33373C"/>
          <w:sz w:val="24"/>
          <w:szCs w:val="24"/>
        </w:rPr>
        <w:t>e</w:t>
      </w:r>
      <w:r w:rsidRPr="000B4511">
        <w:rPr>
          <w:rFonts w:ascii="Times New Roman" w:hAnsi="Times New Roman" w:cs="Times New Roman"/>
          <w:color w:val="1A1E21"/>
          <w:sz w:val="24"/>
          <w:szCs w:val="24"/>
        </w:rPr>
        <w:t>nt</w:t>
      </w:r>
      <w:r w:rsidRPr="000B4511">
        <w:rPr>
          <w:rFonts w:ascii="Times New Roman" w:hAnsi="Times New Roman" w:cs="Times New Roman"/>
          <w:color w:val="33373C"/>
          <w:sz w:val="24"/>
          <w:szCs w:val="24"/>
        </w:rPr>
        <w:t>a</w:t>
      </w:r>
      <w:r w:rsidRPr="000B4511">
        <w:rPr>
          <w:rFonts w:ascii="Times New Roman" w:hAnsi="Times New Roman" w:cs="Times New Roman"/>
          <w:color w:val="1A1E21"/>
          <w:sz w:val="24"/>
          <w:szCs w:val="24"/>
        </w:rPr>
        <w:t>l</w:t>
      </w:r>
      <w:r w:rsidRPr="000B4511">
        <w:rPr>
          <w:rFonts w:ascii="Times New Roman" w:hAnsi="Times New Roman" w:cs="Times New Roman"/>
          <w:color w:val="33373C"/>
          <w:sz w:val="24"/>
          <w:szCs w:val="24"/>
        </w:rPr>
        <w:t xml:space="preserve">e à </w:t>
      </w:r>
      <w:r w:rsidRPr="000B4511">
        <w:rPr>
          <w:rFonts w:ascii="Times New Roman" w:hAnsi="Times New Roman" w:cs="Times New Roman"/>
          <w:color w:val="1A1E21"/>
          <w:sz w:val="24"/>
          <w:szCs w:val="24"/>
        </w:rPr>
        <w:t>l</w:t>
      </w:r>
      <w:r w:rsidRPr="000B4511">
        <w:rPr>
          <w:rFonts w:ascii="Times New Roman" w:hAnsi="Times New Roman" w:cs="Times New Roman"/>
          <w:color w:val="33373C"/>
          <w:sz w:val="24"/>
          <w:szCs w:val="24"/>
        </w:rPr>
        <w:t>'a</w:t>
      </w:r>
      <w:r w:rsidRPr="000B4511">
        <w:rPr>
          <w:rFonts w:ascii="Times New Roman" w:hAnsi="Times New Roman" w:cs="Times New Roman"/>
          <w:color w:val="1A1E21"/>
          <w:sz w:val="24"/>
          <w:szCs w:val="24"/>
        </w:rPr>
        <w:t>dopt</w:t>
      </w:r>
      <w:r w:rsidRPr="000B4511">
        <w:rPr>
          <w:rFonts w:ascii="Times New Roman" w:hAnsi="Times New Roman" w:cs="Times New Roman"/>
          <w:color w:val="33373C"/>
          <w:sz w:val="24"/>
          <w:szCs w:val="24"/>
        </w:rPr>
        <w:t>e</w:t>
      </w:r>
      <w:r w:rsidRPr="000B4511">
        <w:rPr>
          <w:rFonts w:ascii="Times New Roman" w:hAnsi="Times New Roman" w:cs="Times New Roman"/>
          <w:color w:val="1A1E21"/>
          <w:sz w:val="24"/>
          <w:szCs w:val="24"/>
        </w:rPr>
        <w:t>r.</w:t>
      </w:r>
    </w:p>
    <w:p w:rsidR="00885E1C" w:rsidRPr="0089638A" w:rsidRDefault="00885E1C" w:rsidP="00885E1C">
      <w:pPr>
        <w:autoSpaceDE w:val="0"/>
        <w:autoSpaceDN w:val="0"/>
        <w:adjustRightInd w:val="0"/>
        <w:spacing w:after="0" w:line="360" w:lineRule="auto"/>
        <w:ind w:firstLine="709"/>
        <w:jc w:val="both"/>
        <w:rPr>
          <w:rFonts w:ascii="Times New Roman" w:hAnsi="Times New Roman" w:cs="Times New Roman"/>
          <w:color w:val="1A1E21"/>
          <w:sz w:val="24"/>
          <w:szCs w:val="24"/>
        </w:rPr>
      </w:pPr>
      <w:r w:rsidRPr="0089638A">
        <w:rPr>
          <w:rFonts w:ascii="Times New Roman" w:hAnsi="Times New Roman" w:cs="Times New Roman"/>
          <w:sz w:val="24"/>
          <w:szCs w:val="24"/>
        </w:rPr>
        <w:t>L’identité ethnique représente les connaissances qu’une personne dispose  sur son groupe social et la signification des valeurs et des émotions attachées à ce groupe (</w:t>
      </w:r>
      <w:proofErr w:type="spellStart"/>
      <w:r w:rsidRPr="0089638A">
        <w:rPr>
          <w:rFonts w:ascii="Times New Roman" w:hAnsi="Times New Roman" w:cs="Times New Roman"/>
          <w:sz w:val="24"/>
          <w:szCs w:val="24"/>
        </w:rPr>
        <w:t>Phinney</w:t>
      </w:r>
      <w:proofErr w:type="spellEnd"/>
      <w:r w:rsidRPr="0089638A">
        <w:rPr>
          <w:rFonts w:ascii="Times New Roman" w:hAnsi="Times New Roman" w:cs="Times New Roman"/>
          <w:sz w:val="24"/>
          <w:szCs w:val="24"/>
        </w:rPr>
        <w:t xml:space="preserve">, 1992). La force de l’identité ethnique déterminera ainsi dans quelle mesure un individu s’identifie à une ethnie, </w:t>
      </w:r>
      <w:proofErr w:type="spellStart"/>
      <w:r w:rsidRPr="0089638A">
        <w:rPr>
          <w:rFonts w:ascii="Times New Roman" w:hAnsi="Times New Roman" w:cs="Times New Roman"/>
          <w:sz w:val="24"/>
          <w:szCs w:val="24"/>
        </w:rPr>
        <w:t>Bornman</w:t>
      </w:r>
      <w:proofErr w:type="spellEnd"/>
      <w:r w:rsidRPr="0089638A">
        <w:rPr>
          <w:rFonts w:ascii="Times New Roman" w:hAnsi="Times New Roman" w:cs="Times New Roman"/>
          <w:sz w:val="24"/>
          <w:szCs w:val="24"/>
        </w:rPr>
        <w:t xml:space="preserve"> (1999).  Elle semble donc déterminante dans la construction des comportements de consommation des individus car elle est susceptible d’influencer plusieurs pans de consommation du pauvre. </w:t>
      </w:r>
    </w:p>
    <w:p w:rsidR="00885E1C" w:rsidRPr="0089638A" w:rsidRDefault="00885E1C" w:rsidP="00885E1C">
      <w:pPr>
        <w:autoSpaceDE w:val="0"/>
        <w:autoSpaceDN w:val="0"/>
        <w:adjustRightInd w:val="0"/>
        <w:spacing w:after="0" w:line="360" w:lineRule="auto"/>
        <w:ind w:firstLine="709"/>
        <w:jc w:val="both"/>
        <w:rPr>
          <w:rFonts w:ascii="Times New Roman" w:hAnsi="Times New Roman" w:cs="Times New Roman"/>
          <w:sz w:val="24"/>
          <w:szCs w:val="24"/>
        </w:rPr>
      </w:pPr>
      <w:r w:rsidRPr="0089638A">
        <w:rPr>
          <w:rFonts w:ascii="Times New Roman" w:hAnsi="Times New Roman" w:cs="Times New Roman"/>
          <w:color w:val="1A1E21"/>
          <w:sz w:val="24"/>
          <w:szCs w:val="24"/>
        </w:rPr>
        <w:t xml:space="preserve"> Ce</w:t>
      </w:r>
      <w:r>
        <w:rPr>
          <w:rFonts w:ascii="Times New Roman" w:hAnsi="Times New Roman" w:cs="Times New Roman"/>
          <w:color w:val="1A1E21"/>
          <w:sz w:val="24"/>
          <w:szCs w:val="24"/>
        </w:rPr>
        <w:t>ci nous amène</w:t>
      </w:r>
      <w:r w:rsidRPr="0089638A">
        <w:rPr>
          <w:rFonts w:ascii="Times New Roman" w:hAnsi="Times New Roman" w:cs="Times New Roman"/>
          <w:color w:val="1A1E21"/>
          <w:sz w:val="24"/>
          <w:szCs w:val="24"/>
        </w:rPr>
        <w:t xml:space="preserve"> à développer les hypothèses suivantes</w:t>
      </w:r>
      <w:r>
        <w:rPr>
          <w:rFonts w:ascii="Times New Roman" w:hAnsi="Times New Roman" w:cs="Times New Roman"/>
          <w:color w:val="1A1E21"/>
          <w:sz w:val="24"/>
          <w:szCs w:val="24"/>
        </w:rPr>
        <w:t xml:space="preserve"> </w:t>
      </w:r>
      <w:r w:rsidRPr="0089638A">
        <w:rPr>
          <w:rFonts w:ascii="Times New Roman" w:hAnsi="Times New Roman" w:cs="Times New Roman"/>
          <w:color w:val="1A1E21"/>
          <w:sz w:val="24"/>
          <w:szCs w:val="24"/>
        </w:rPr>
        <w:t>:</w:t>
      </w:r>
    </w:p>
    <w:p w:rsidR="00885E1C" w:rsidRDefault="00885E1C" w:rsidP="00885E1C">
      <w:pPr>
        <w:autoSpaceDE w:val="0"/>
        <w:autoSpaceDN w:val="0"/>
        <w:adjustRightInd w:val="0"/>
        <w:spacing w:after="0" w:line="360" w:lineRule="auto"/>
        <w:jc w:val="both"/>
        <w:rPr>
          <w:rFonts w:ascii="Times New Roman" w:hAnsi="Times New Roman" w:cs="Times New Roman"/>
          <w:bCs/>
          <w:color w:val="1B2022"/>
          <w:sz w:val="24"/>
          <w:szCs w:val="24"/>
        </w:rPr>
      </w:pPr>
      <w:r w:rsidRPr="000B4511">
        <w:rPr>
          <w:rFonts w:ascii="Times New Roman" w:hAnsi="Times New Roman" w:cs="Times New Roman"/>
          <w:bCs/>
          <w:color w:val="1B2022"/>
          <w:sz w:val="24"/>
          <w:szCs w:val="24"/>
        </w:rPr>
        <w:t>Hl : L'entourage du consommateur pauvre influence significativement sa décision de choix d’un produit</w:t>
      </w:r>
    </w:p>
    <w:p w:rsidR="00885E1C" w:rsidRDefault="00885E1C" w:rsidP="00885E1C">
      <w:pPr>
        <w:autoSpaceDE w:val="0"/>
        <w:autoSpaceDN w:val="0"/>
        <w:adjustRightInd w:val="0"/>
        <w:spacing w:after="0" w:line="360" w:lineRule="auto"/>
        <w:jc w:val="both"/>
        <w:rPr>
          <w:rFonts w:ascii="Times New Roman" w:hAnsi="Times New Roman" w:cs="Times New Roman"/>
          <w:bCs/>
          <w:color w:val="1B2022"/>
          <w:sz w:val="24"/>
          <w:szCs w:val="24"/>
        </w:rPr>
      </w:pPr>
      <w:r>
        <w:rPr>
          <w:rFonts w:ascii="Times New Roman" w:hAnsi="Times New Roman" w:cs="Times New Roman"/>
          <w:bCs/>
          <w:color w:val="1B2022"/>
          <w:sz w:val="24"/>
          <w:szCs w:val="24"/>
        </w:rPr>
        <w:lastRenderedPageBreak/>
        <w:t>H2 : La force de l’identité ethnique du consommateur</w:t>
      </w:r>
      <w:r w:rsidRPr="000B4511">
        <w:rPr>
          <w:rFonts w:ascii="Times New Roman" w:hAnsi="Times New Roman" w:cs="Times New Roman"/>
          <w:bCs/>
          <w:color w:val="1B2022"/>
          <w:sz w:val="24"/>
          <w:szCs w:val="24"/>
        </w:rPr>
        <w:t xml:space="preserve"> pauvre influence significativement sa décision de choix d’un produit</w:t>
      </w:r>
    </w:p>
    <w:p w:rsidR="00885E1C" w:rsidRPr="000D49D7" w:rsidRDefault="00885E1C" w:rsidP="00885E1C">
      <w:pPr>
        <w:autoSpaceDE w:val="0"/>
        <w:autoSpaceDN w:val="0"/>
        <w:adjustRightInd w:val="0"/>
        <w:spacing w:after="0" w:line="360" w:lineRule="auto"/>
        <w:jc w:val="both"/>
        <w:rPr>
          <w:rFonts w:ascii="Times New Roman" w:hAnsi="Times New Roman" w:cs="Times New Roman"/>
          <w:bCs/>
          <w:i/>
          <w:color w:val="1B2022"/>
          <w:sz w:val="24"/>
          <w:szCs w:val="24"/>
        </w:rPr>
      </w:pPr>
      <w:r w:rsidRPr="000D49D7">
        <w:rPr>
          <w:rFonts w:ascii="Times New Roman" w:hAnsi="Times New Roman" w:cs="Times New Roman"/>
          <w:bCs/>
          <w:i/>
          <w:color w:val="1B2022"/>
          <w:sz w:val="24"/>
          <w:szCs w:val="24"/>
        </w:rPr>
        <w:t>La théorie culturelle de la consommation comme cadre de compréhension des aspects socioculturels, expérientiels  et symbolique des décisions de consommation du pauvre</w:t>
      </w:r>
    </w:p>
    <w:p w:rsidR="00885E1C" w:rsidRDefault="00885E1C" w:rsidP="00885E1C">
      <w:pPr>
        <w:autoSpaceDE w:val="0"/>
        <w:autoSpaceDN w:val="0"/>
        <w:adjustRightInd w:val="0"/>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Cette théorie mène un effort de tissage de liens entre les comportements individuels et les bains culturels dans lesquels évolue le consommateur (Arnoult &amp; Thompson, 2005). La consommation permet la réalisation de ce lien en transposant les systèmes de valeurs et de croyances du consommateur au marché.</w:t>
      </w:r>
    </w:p>
    <w:p w:rsidR="00885E1C" w:rsidRPr="00023928" w:rsidRDefault="00885E1C" w:rsidP="00885E1C">
      <w:pPr>
        <w:pStyle w:val="Default"/>
        <w:spacing w:line="360" w:lineRule="auto"/>
        <w:ind w:firstLine="708"/>
        <w:jc w:val="both"/>
      </w:pPr>
      <w:r>
        <w:t>La religion d’un individu renferme plusieurs croyances et valeurs, contenues dans les permissions et prohibitions, qui orientent ses décisions de choix. Weaver &amp;</w:t>
      </w:r>
      <w:r w:rsidRPr="00023928">
        <w:t xml:space="preserve"> Agle (2002) soulignent que la religion peut avoir une influence favorable et posi</w:t>
      </w:r>
      <w:r>
        <w:t>tive sur le comportement de consommation du consommateur</w:t>
      </w:r>
      <w:r w:rsidRPr="00023928">
        <w:t xml:space="preserve">. </w:t>
      </w:r>
      <w:r>
        <w:t>Ainsi, les</w:t>
      </w:r>
      <w:r w:rsidRPr="00023928">
        <w:t xml:space="preserve"> personnes concernées ont tendance à utiliser leur religion comme un guide dans leurs prises de décisions et leurs co</w:t>
      </w:r>
      <w:r>
        <w:t>mportements habituels (Walker &amp;</w:t>
      </w:r>
      <w:r w:rsidRPr="00023928">
        <w:t xml:space="preserve"> </w:t>
      </w:r>
      <w:proofErr w:type="gramStart"/>
      <w:r w:rsidRPr="00023928">
        <w:t>al.</w:t>
      </w:r>
      <w:r>
        <w:t>,</w:t>
      </w:r>
      <w:proofErr w:type="gramEnd"/>
      <w:r w:rsidRPr="00023928">
        <w:t xml:space="preserve"> 2012). Ce qui justifie l’hypothèse suivante : </w:t>
      </w:r>
    </w:p>
    <w:p w:rsidR="00885E1C" w:rsidRPr="00023928" w:rsidRDefault="00885E1C" w:rsidP="00885E1C">
      <w:pPr>
        <w:pStyle w:val="Default"/>
        <w:spacing w:line="360" w:lineRule="auto"/>
        <w:jc w:val="both"/>
      </w:pPr>
      <w:r>
        <w:rPr>
          <w:i/>
          <w:iCs/>
        </w:rPr>
        <w:t>H3</w:t>
      </w:r>
      <w:r w:rsidRPr="00023928">
        <w:rPr>
          <w:i/>
          <w:iCs/>
        </w:rPr>
        <w:t xml:space="preserve"> : La rel</w:t>
      </w:r>
      <w:r>
        <w:rPr>
          <w:i/>
          <w:iCs/>
        </w:rPr>
        <w:t>igion influence significativement</w:t>
      </w:r>
      <w:r w:rsidRPr="00023928">
        <w:rPr>
          <w:i/>
          <w:iCs/>
        </w:rPr>
        <w:t xml:space="preserve"> les comportements de consommation du pauvre</w:t>
      </w:r>
    </w:p>
    <w:p w:rsidR="00885E1C" w:rsidRPr="00C3127C" w:rsidRDefault="00885E1C" w:rsidP="00885E1C">
      <w:pPr>
        <w:autoSpaceDE w:val="0"/>
        <w:autoSpaceDN w:val="0"/>
        <w:adjustRightInd w:val="0"/>
        <w:spacing w:after="0" w:line="360" w:lineRule="auto"/>
        <w:ind w:firstLine="708"/>
        <w:jc w:val="both"/>
        <w:rPr>
          <w:rFonts w:ascii="Times New Roman" w:hAnsi="Times New Roman" w:cs="Times New Roman"/>
          <w:sz w:val="24"/>
          <w:szCs w:val="24"/>
        </w:rPr>
      </w:pPr>
      <w:r w:rsidRPr="00C3127C">
        <w:rPr>
          <w:rFonts w:ascii="Times New Roman" w:hAnsi="Times New Roman" w:cs="Times New Roman"/>
          <w:sz w:val="24"/>
          <w:szCs w:val="24"/>
        </w:rPr>
        <w:t>Enfin, les traditions semblent structurer les attitudes envers certains sujets  et orientent le mode de comportement des individus en leur fournissant un ensemble de solutions aux problèmes rencontrés (</w:t>
      </w:r>
      <w:proofErr w:type="spellStart"/>
      <w:r w:rsidRPr="00C3127C">
        <w:rPr>
          <w:rFonts w:ascii="Times New Roman" w:hAnsi="Times New Roman" w:cs="Times New Roman"/>
          <w:sz w:val="24"/>
          <w:szCs w:val="24"/>
        </w:rPr>
        <w:t>Rice</w:t>
      </w:r>
      <w:proofErr w:type="spellEnd"/>
      <w:r w:rsidRPr="00C3127C">
        <w:rPr>
          <w:rFonts w:ascii="Times New Roman" w:hAnsi="Times New Roman" w:cs="Times New Roman"/>
          <w:sz w:val="24"/>
          <w:szCs w:val="24"/>
        </w:rPr>
        <w:t xml:space="preserve">, 1993). L’une des principales caractéristiques des traditions est d’influencer le comportement humain et donc le comportement d’achat du consommateur.  D’après </w:t>
      </w:r>
      <w:proofErr w:type="spellStart"/>
      <w:r w:rsidRPr="00C3127C">
        <w:rPr>
          <w:rFonts w:ascii="Times New Roman" w:hAnsi="Times New Roman" w:cs="Times New Roman"/>
          <w:sz w:val="24"/>
          <w:szCs w:val="24"/>
        </w:rPr>
        <w:t>Richins</w:t>
      </w:r>
      <w:proofErr w:type="spellEnd"/>
      <w:r w:rsidRPr="00C3127C">
        <w:rPr>
          <w:rFonts w:ascii="Times New Roman" w:hAnsi="Times New Roman" w:cs="Times New Roman"/>
          <w:sz w:val="24"/>
          <w:szCs w:val="24"/>
        </w:rPr>
        <w:t xml:space="preserve"> (1994), les valeurs traditionnelles jouent un rôle particulièrement important pour un consommateur en orientant ses comportements, ses</w:t>
      </w:r>
      <w:r>
        <w:rPr>
          <w:rFonts w:ascii="Times New Roman" w:hAnsi="Times New Roman" w:cs="Times New Roman"/>
          <w:sz w:val="24"/>
          <w:szCs w:val="24"/>
        </w:rPr>
        <w:t xml:space="preserve"> </w:t>
      </w:r>
      <w:r w:rsidRPr="00C3127C">
        <w:rPr>
          <w:rFonts w:ascii="Times New Roman" w:hAnsi="Times New Roman" w:cs="Times New Roman"/>
          <w:sz w:val="24"/>
          <w:szCs w:val="24"/>
        </w:rPr>
        <w:t>attitudes, ses jugements vis-à-vis d’un sujet. Ancrée sur des  recherches ont montré le lien entre les comportements de consommation et les traditions (</w:t>
      </w:r>
      <w:proofErr w:type="spellStart"/>
      <w:r w:rsidRPr="00C3127C">
        <w:rPr>
          <w:rFonts w:ascii="Times New Roman" w:hAnsi="Times New Roman" w:cs="Times New Roman"/>
          <w:sz w:val="24"/>
          <w:szCs w:val="24"/>
        </w:rPr>
        <w:t>Diop</w:t>
      </w:r>
      <w:proofErr w:type="spellEnd"/>
      <w:r w:rsidRPr="00C3127C">
        <w:rPr>
          <w:rFonts w:ascii="Times New Roman" w:hAnsi="Times New Roman" w:cs="Times New Roman"/>
          <w:sz w:val="24"/>
          <w:szCs w:val="24"/>
        </w:rPr>
        <w:t xml:space="preserve">, 2013 ; Meng </w:t>
      </w:r>
      <w:proofErr w:type="spellStart"/>
      <w:r w:rsidRPr="00C3127C">
        <w:rPr>
          <w:rFonts w:ascii="Times New Roman" w:hAnsi="Times New Roman" w:cs="Times New Roman"/>
          <w:sz w:val="24"/>
          <w:szCs w:val="24"/>
        </w:rPr>
        <w:t>Xia</w:t>
      </w:r>
      <w:proofErr w:type="spellEnd"/>
      <w:r w:rsidRPr="00C3127C">
        <w:rPr>
          <w:rFonts w:ascii="Times New Roman" w:hAnsi="Times New Roman" w:cs="Times New Roman"/>
          <w:sz w:val="24"/>
          <w:szCs w:val="24"/>
        </w:rPr>
        <w:t xml:space="preserve"> Chang, 2016), nous posons donc l’hypothèse : </w:t>
      </w:r>
    </w:p>
    <w:p w:rsidR="00885E1C" w:rsidRPr="00C3127C" w:rsidRDefault="00885E1C" w:rsidP="00885E1C">
      <w:pPr>
        <w:autoSpaceDE w:val="0"/>
        <w:autoSpaceDN w:val="0"/>
        <w:adjustRightInd w:val="0"/>
        <w:spacing w:after="0" w:line="360" w:lineRule="auto"/>
        <w:jc w:val="both"/>
        <w:rPr>
          <w:rFonts w:ascii="Times New Roman" w:hAnsi="Times New Roman" w:cs="Times New Roman"/>
          <w:bCs/>
          <w:color w:val="1B2022"/>
          <w:sz w:val="24"/>
          <w:szCs w:val="24"/>
        </w:rPr>
      </w:pPr>
      <w:r w:rsidRPr="00C3127C">
        <w:rPr>
          <w:rFonts w:ascii="Times New Roman" w:hAnsi="Times New Roman" w:cs="Times New Roman"/>
          <w:i/>
          <w:iCs/>
          <w:sz w:val="24"/>
          <w:szCs w:val="24"/>
        </w:rPr>
        <w:t xml:space="preserve">H4 : les traditions influencent significativement les décisions de consommations du pauvre </w:t>
      </w:r>
    </w:p>
    <w:p w:rsidR="00885E1C" w:rsidRDefault="00885E1C" w:rsidP="00885E1C">
      <w:pPr>
        <w:pStyle w:val="Default"/>
        <w:rPr>
          <w:sz w:val="23"/>
          <w:szCs w:val="23"/>
        </w:rPr>
      </w:pPr>
    </w:p>
    <w:p w:rsidR="00885E1C" w:rsidRDefault="00885E1C" w:rsidP="00885E1C">
      <w:pPr>
        <w:pStyle w:val="Default"/>
        <w:rPr>
          <w:b/>
        </w:rPr>
      </w:pPr>
      <w:r w:rsidRPr="00AE4A06">
        <w:rPr>
          <w:b/>
        </w:rPr>
        <w:t>Design de recherche</w:t>
      </w:r>
    </w:p>
    <w:p w:rsidR="00885E1C" w:rsidRPr="00AE4A06" w:rsidRDefault="00885E1C" w:rsidP="00885E1C">
      <w:pPr>
        <w:pStyle w:val="Default"/>
        <w:rPr>
          <w:b/>
        </w:rPr>
      </w:pPr>
    </w:p>
    <w:p w:rsidR="00885E1C" w:rsidRDefault="00885E1C" w:rsidP="00885E1C">
      <w:pPr>
        <w:pStyle w:val="Default"/>
        <w:spacing w:line="360" w:lineRule="auto"/>
        <w:ind w:firstLine="708"/>
        <w:jc w:val="both"/>
      </w:pPr>
      <w:r w:rsidRPr="00AE4A06">
        <w:t>Pour opérationnaliser les concepts de notre étude, nous avons fait le choix d’échelles de m</w:t>
      </w:r>
      <w:r>
        <w:t>esure existantes. La force de l’identité éthique</w:t>
      </w:r>
      <w:r w:rsidRPr="00AE4A06">
        <w:t xml:space="preserve"> a été mesurée par l’échelle de </w:t>
      </w:r>
      <w:proofErr w:type="spellStart"/>
      <w:r>
        <w:t>Phinney</w:t>
      </w:r>
      <w:proofErr w:type="spellEnd"/>
      <w:r>
        <w:t xml:space="preserve"> (1992)</w:t>
      </w:r>
      <w:r w:rsidRPr="00AE4A06">
        <w:t xml:space="preserve">. De même, nous </w:t>
      </w:r>
      <w:r>
        <w:t>nous inspirons de l’échelle d’</w:t>
      </w:r>
      <w:proofErr w:type="spellStart"/>
      <w:r>
        <w:t>Ajzen</w:t>
      </w:r>
      <w:proofErr w:type="spellEnd"/>
      <w:r>
        <w:t xml:space="preserve"> (1991) pour mesurer les normes sociales</w:t>
      </w:r>
      <w:r w:rsidRPr="00AE4A06">
        <w:t xml:space="preserve">. Nous avons </w:t>
      </w:r>
      <w:r>
        <w:t xml:space="preserve">adapté l’échelle de Meng </w:t>
      </w:r>
      <w:proofErr w:type="spellStart"/>
      <w:r>
        <w:t>Xia</w:t>
      </w:r>
      <w:proofErr w:type="spellEnd"/>
      <w:r>
        <w:t xml:space="preserve"> Zhang (2016) </w:t>
      </w:r>
      <w:r w:rsidRPr="00AE4A06">
        <w:t xml:space="preserve"> pour m</w:t>
      </w:r>
      <w:r>
        <w:t xml:space="preserve">esurer les valeurs traditionnelles. </w:t>
      </w:r>
      <w:r w:rsidRPr="00AE4A06">
        <w:t>Enfin, e</w:t>
      </w:r>
      <w:r>
        <w:t xml:space="preserve">n ce qui concerne la religion, l’échelle adaptée de Mc </w:t>
      </w:r>
      <w:proofErr w:type="spellStart"/>
      <w:r>
        <w:t>Danniel</w:t>
      </w:r>
      <w:proofErr w:type="spellEnd"/>
      <w:r>
        <w:t xml:space="preserve"> &amp; </w:t>
      </w:r>
      <w:proofErr w:type="spellStart"/>
      <w:r>
        <w:t>Burnett</w:t>
      </w:r>
      <w:proofErr w:type="spellEnd"/>
      <w:r>
        <w:t xml:space="preserve">  (1990) est mobilisée</w:t>
      </w:r>
      <w:r w:rsidRPr="00AE4A06">
        <w:t xml:space="preserve">. </w:t>
      </w:r>
    </w:p>
    <w:p w:rsidR="00885E1C" w:rsidRPr="00FF41D9" w:rsidRDefault="00885E1C" w:rsidP="00885E1C">
      <w:pPr>
        <w:spacing w:line="360" w:lineRule="auto"/>
        <w:ind w:firstLine="708"/>
        <w:jc w:val="both"/>
        <w:rPr>
          <w:rFonts w:ascii="Times New Roman" w:hAnsi="Times New Roman" w:cs="Times New Roman"/>
          <w:sz w:val="24"/>
          <w:szCs w:val="24"/>
        </w:rPr>
      </w:pPr>
      <w:r w:rsidRPr="00FF41D9">
        <w:rPr>
          <w:rFonts w:ascii="Times New Roman" w:hAnsi="Times New Roman" w:cs="Times New Roman"/>
          <w:sz w:val="24"/>
          <w:szCs w:val="24"/>
        </w:rPr>
        <w:lastRenderedPageBreak/>
        <w:t xml:space="preserve">Cette étude s’est effectuée en deux temps : Nous avons </w:t>
      </w:r>
      <w:r w:rsidR="009A21B8">
        <w:rPr>
          <w:rFonts w:ascii="Times New Roman" w:hAnsi="Times New Roman" w:cs="Times New Roman"/>
          <w:sz w:val="24"/>
          <w:szCs w:val="24"/>
        </w:rPr>
        <w:t>allons d’abord réaliser</w:t>
      </w:r>
      <w:r w:rsidRPr="00FF41D9">
        <w:rPr>
          <w:rFonts w:ascii="Times New Roman" w:hAnsi="Times New Roman" w:cs="Times New Roman"/>
          <w:sz w:val="24"/>
          <w:szCs w:val="24"/>
        </w:rPr>
        <w:t xml:space="preserve"> des</w:t>
      </w:r>
      <w:r>
        <w:rPr>
          <w:rFonts w:ascii="Times New Roman" w:hAnsi="Times New Roman" w:cs="Times New Roman"/>
          <w:sz w:val="24"/>
          <w:szCs w:val="24"/>
        </w:rPr>
        <w:t xml:space="preserve"> récits de vie </w:t>
      </w:r>
      <w:r w:rsidRPr="00FF41D9">
        <w:rPr>
          <w:rFonts w:ascii="Times New Roman" w:hAnsi="Times New Roman" w:cs="Times New Roman"/>
          <w:sz w:val="24"/>
          <w:szCs w:val="24"/>
        </w:rPr>
        <w:t xml:space="preserve"> auprès d’une </w:t>
      </w:r>
      <w:r>
        <w:rPr>
          <w:rFonts w:ascii="Times New Roman" w:hAnsi="Times New Roman" w:cs="Times New Roman"/>
          <w:sz w:val="24"/>
          <w:szCs w:val="24"/>
        </w:rPr>
        <w:t>dizaine</w:t>
      </w:r>
      <w:r w:rsidRPr="00FF41D9">
        <w:rPr>
          <w:rFonts w:ascii="Times New Roman" w:hAnsi="Times New Roman" w:cs="Times New Roman"/>
          <w:sz w:val="24"/>
          <w:szCs w:val="24"/>
        </w:rPr>
        <w:t xml:space="preserve"> de consommateurs pauvres afin d’approfondir notre compréhension du sujet et ainsi avoir des pistes pour la construction des items de notre questionnair</w:t>
      </w:r>
      <w:r w:rsidR="009A21B8">
        <w:rPr>
          <w:rFonts w:ascii="Times New Roman" w:hAnsi="Times New Roman" w:cs="Times New Roman"/>
          <w:sz w:val="24"/>
          <w:szCs w:val="24"/>
        </w:rPr>
        <w:t>e. Puis nous allons administrer</w:t>
      </w:r>
      <w:r w:rsidRPr="00FF41D9">
        <w:rPr>
          <w:rFonts w:ascii="Times New Roman" w:hAnsi="Times New Roman" w:cs="Times New Roman"/>
          <w:sz w:val="24"/>
          <w:szCs w:val="24"/>
        </w:rPr>
        <w:t xml:space="preserve"> un questionnaire, en face à face, à  400 personnes  selon l’échantillonnage </w:t>
      </w:r>
      <w:r>
        <w:rPr>
          <w:rFonts w:ascii="Times New Roman" w:hAnsi="Times New Roman" w:cs="Times New Roman"/>
          <w:sz w:val="24"/>
          <w:szCs w:val="24"/>
        </w:rPr>
        <w:t>boule de neige</w:t>
      </w:r>
      <w:r w:rsidR="002D51D7">
        <w:rPr>
          <w:rFonts w:ascii="Times New Roman" w:hAnsi="Times New Roman" w:cs="Times New Roman"/>
          <w:sz w:val="24"/>
          <w:szCs w:val="24"/>
        </w:rPr>
        <w:t>.</w:t>
      </w:r>
      <w:bookmarkStart w:id="0" w:name="_GoBack"/>
      <w:bookmarkEnd w:id="0"/>
    </w:p>
    <w:p w:rsidR="00885E1C" w:rsidRPr="0020319F" w:rsidRDefault="00885E1C" w:rsidP="00885E1C">
      <w:pPr>
        <w:spacing w:after="0" w:line="360" w:lineRule="auto"/>
        <w:jc w:val="both"/>
        <w:rPr>
          <w:rFonts w:ascii="Times New Roman" w:hAnsi="Times New Roman" w:cs="Times New Roman"/>
          <w:sz w:val="24"/>
          <w:szCs w:val="24"/>
          <w:lang w:val="en-US"/>
        </w:rPr>
      </w:pPr>
      <w:proofErr w:type="spellStart"/>
      <w:r w:rsidRPr="0020319F">
        <w:rPr>
          <w:rFonts w:ascii="Times New Roman" w:hAnsi="Times New Roman" w:cs="Times New Roman"/>
          <w:b/>
          <w:sz w:val="24"/>
          <w:szCs w:val="24"/>
          <w:lang w:val="en-US"/>
        </w:rPr>
        <w:t>Références</w:t>
      </w:r>
      <w:proofErr w:type="spellEnd"/>
      <w:r w:rsidRPr="0020319F">
        <w:rPr>
          <w:rFonts w:ascii="Times New Roman" w:hAnsi="Times New Roman" w:cs="Times New Roman"/>
          <w:b/>
          <w:sz w:val="24"/>
          <w:szCs w:val="24"/>
          <w:lang w:val="en-US"/>
        </w:rPr>
        <w:t xml:space="preserve"> </w:t>
      </w:r>
      <w:proofErr w:type="spellStart"/>
      <w:r w:rsidRPr="0020319F">
        <w:rPr>
          <w:rFonts w:ascii="Times New Roman" w:hAnsi="Times New Roman" w:cs="Times New Roman"/>
          <w:b/>
          <w:sz w:val="24"/>
          <w:szCs w:val="24"/>
          <w:lang w:val="en-US"/>
        </w:rPr>
        <w:t>bibliographiques</w:t>
      </w:r>
      <w:proofErr w:type="spellEnd"/>
      <w:r w:rsidRPr="0020319F">
        <w:rPr>
          <w:rFonts w:ascii="Times New Roman" w:hAnsi="Times New Roman" w:cs="Times New Roman"/>
          <w:b/>
          <w:sz w:val="24"/>
          <w:szCs w:val="24"/>
          <w:lang w:val="en-US"/>
        </w:rPr>
        <w:t xml:space="preserve"> </w:t>
      </w:r>
    </w:p>
    <w:p w:rsidR="00885E1C" w:rsidRPr="0020319F" w:rsidRDefault="00885E1C" w:rsidP="00885E1C">
      <w:pPr>
        <w:autoSpaceDE w:val="0"/>
        <w:autoSpaceDN w:val="0"/>
        <w:adjustRightInd w:val="0"/>
        <w:spacing w:after="0" w:line="360" w:lineRule="auto"/>
        <w:jc w:val="both"/>
        <w:rPr>
          <w:rFonts w:ascii="Times New Roman" w:hAnsi="Times New Roman" w:cs="Times New Roman"/>
          <w:sz w:val="24"/>
          <w:szCs w:val="24"/>
          <w:lang w:val="en-US"/>
        </w:rPr>
      </w:pPr>
      <w:proofErr w:type="spellStart"/>
      <w:r w:rsidRPr="0020319F">
        <w:rPr>
          <w:rFonts w:ascii="Times New Roman" w:hAnsi="Times New Roman" w:cs="Times New Roman"/>
          <w:sz w:val="24"/>
          <w:szCs w:val="24"/>
          <w:lang w:val="en-US"/>
        </w:rPr>
        <w:t>Achrol</w:t>
      </w:r>
      <w:proofErr w:type="spellEnd"/>
      <w:r w:rsidRPr="0020319F">
        <w:rPr>
          <w:rFonts w:ascii="Times New Roman" w:hAnsi="Times New Roman" w:cs="Times New Roman"/>
          <w:sz w:val="24"/>
          <w:szCs w:val="24"/>
          <w:lang w:val="en-US"/>
        </w:rPr>
        <w:t xml:space="preserve"> R. &amp; Kotler P. (2016), «Marketing’s lost frontier: the poor, Markets</w:t>
      </w:r>
      <w:r w:rsidRPr="0020319F">
        <w:rPr>
          <w:rFonts w:ascii="Times New Roman" w:eastAsia="DejaVuSerif" w:hAnsi="Times New Roman" w:cs="Times New Roman"/>
          <w:color w:val="222222"/>
          <w:sz w:val="24"/>
          <w:szCs w:val="24"/>
          <w:lang w:val="en-US"/>
        </w:rPr>
        <w:t>»</w:t>
      </w:r>
      <w:r w:rsidRPr="0020319F">
        <w:rPr>
          <w:rFonts w:ascii="Times New Roman" w:hAnsi="Times New Roman" w:cs="Times New Roman"/>
          <w:sz w:val="24"/>
          <w:szCs w:val="24"/>
          <w:lang w:val="en-US"/>
        </w:rPr>
        <w:t xml:space="preserve">, </w:t>
      </w:r>
      <w:r w:rsidRPr="0020319F">
        <w:rPr>
          <w:rFonts w:ascii="Times New Roman" w:hAnsi="Times New Roman" w:cs="Times New Roman"/>
          <w:i/>
          <w:sz w:val="24"/>
          <w:szCs w:val="24"/>
          <w:lang w:val="en-US"/>
        </w:rPr>
        <w:t>Globalization &amp; Development Review,</w:t>
      </w:r>
      <w:r w:rsidRPr="0020319F">
        <w:rPr>
          <w:rFonts w:ascii="Times New Roman" w:hAnsi="Times New Roman" w:cs="Times New Roman"/>
          <w:sz w:val="24"/>
          <w:szCs w:val="24"/>
          <w:lang w:val="en-US"/>
        </w:rPr>
        <w:t xml:space="preserve"> N° 1, </w:t>
      </w:r>
      <w:proofErr w:type="spellStart"/>
      <w:r w:rsidRPr="0020319F">
        <w:rPr>
          <w:rFonts w:ascii="Times New Roman" w:hAnsi="Times New Roman" w:cs="Times New Roman"/>
          <w:sz w:val="24"/>
          <w:szCs w:val="24"/>
          <w:lang w:val="en-US"/>
        </w:rPr>
        <w:t>janvier</w:t>
      </w:r>
      <w:proofErr w:type="spellEnd"/>
      <w:r w:rsidRPr="0020319F">
        <w:rPr>
          <w:rFonts w:ascii="Times New Roman" w:hAnsi="Times New Roman" w:cs="Times New Roman"/>
          <w:sz w:val="24"/>
          <w:szCs w:val="24"/>
          <w:lang w:val="en-US"/>
        </w:rPr>
        <w:t xml:space="preserve"> – mars, 1- 39</w:t>
      </w:r>
    </w:p>
    <w:p w:rsidR="00885E1C" w:rsidRPr="00023928" w:rsidRDefault="00885E1C" w:rsidP="00885E1C">
      <w:pPr>
        <w:autoSpaceDE w:val="0"/>
        <w:autoSpaceDN w:val="0"/>
        <w:adjustRightInd w:val="0"/>
        <w:spacing w:after="0" w:line="360" w:lineRule="auto"/>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Arnould</w:t>
      </w:r>
      <w:proofErr w:type="spellEnd"/>
      <w:r>
        <w:rPr>
          <w:rFonts w:ascii="Times New Roman" w:hAnsi="Times New Roman" w:cs="Times New Roman"/>
          <w:sz w:val="24"/>
          <w:szCs w:val="24"/>
          <w:lang w:val="en-US"/>
        </w:rPr>
        <w:t xml:space="preserve"> E. J. &amp;</w:t>
      </w:r>
      <w:r w:rsidRPr="00023928">
        <w:rPr>
          <w:rFonts w:ascii="Times New Roman" w:hAnsi="Times New Roman" w:cs="Times New Roman"/>
          <w:sz w:val="24"/>
          <w:szCs w:val="24"/>
          <w:lang w:val="en-US"/>
        </w:rPr>
        <w:t xml:space="preserve"> Thompson C.J. (2005), Consum</w:t>
      </w:r>
      <w:r>
        <w:rPr>
          <w:rFonts w:ascii="Times New Roman" w:hAnsi="Times New Roman" w:cs="Times New Roman"/>
          <w:sz w:val="24"/>
          <w:szCs w:val="24"/>
          <w:lang w:val="en-US"/>
        </w:rPr>
        <w:t xml:space="preserve">er culture theory (CCT): twenty </w:t>
      </w:r>
      <w:r w:rsidRPr="00023928">
        <w:rPr>
          <w:rFonts w:ascii="Times New Roman" w:hAnsi="Times New Roman" w:cs="Times New Roman"/>
          <w:sz w:val="24"/>
          <w:szCs w:val="24"/>
          <w:lang w:val="en-US"/>
        </w:rPr>
        <w:t xml:space="preserve">years of research, </w:t>
      </w:r>
      <w:r w:rsidRPr="00023928">
        <w:rPr>
          <w:rFonts w:ascii="Times New Roman" w:hAnsi="Times New Roman" w:cs="Times New Roman"/>
          <w:i/>
          <w:iCs/>
          <w:sz w:val="24"/>
          <w:szCs w:val="24"/>
          <w:lang w:val="en-US"/>
        </w:rPr>
        <w:t>Journal of Consumer Research</w:t>
      </w:r>
      <w:r>
        <w:rPr>
          <w:rFonts w:ascii="Times New Roman" w:hAnsi="Times New Roman" w:cs="Times New Roman"/>
          <w:sz w:val="24"/>
          <w:szCs w:val="24"/>
          <w:lang w:val="en-US"/>
        </w:rPr>
        <w:t>, 31, 4, 868-882</w:t>
      </w:r>
    </w:p>
    <w:p w:rsidR="00885E1C" w:rsidRPr="00243CA1" w:rsidRDefault="00885E1C" w:rsidP="00885E1C">
      <w:pPr>
        <w:autoSpaceDE w:val="0"/>
        <w:autoSpaceDN w:val="0"/>
        <w:adjustRightInd w:val="0"/>
        <w:spacing w:after="0" w:line="360" w:lineRule="auto"/>
        <w:jc w:val="both"/>
        <w:rPr>
          <w:rFonts w:ascii="Times New Roman" w:eastAsia="DejaVuSerif" w:hAnsi="Times New Roman" w:cs="Times New Roman"/>
          <w:color w:val="222222"/>
          <w:sz w:val="24"/>
          <w:szCs w:val="24"/>
        </w:rPr>
      </w:pPr>
      <w:r w:rsidRPr="00023928">
        <w:rPr>
          <w:rFonts w:ascii="Times New Roman" w:eastAsia="DejaVuSerif" w:hAnsi="Times New Roman" w:cs="Times New Roman"/>
          <w:color w:val="222222"/>
          <w:sz w:val="24"/>
          <w:szCs w:val="24"/>
          <w:lang w:val="en-US"/>
        </w:rPr>
        <w:t xml:space="preserve"> </w:t>
      </w:r>
      <w:proofErr w:type="spellStart"/>
      <w:r w:rsidRPr="00243CA1">
        <w:rPr>
          <w:rFonts w:ascii="Times New Roman" w:eastAsia="DejaVuSerif" w:hAnsi="Times New Roman" w:cs="Times New Roman"/>
          <w:color w:val="222222"/>
          <w:sz w:val="24"/>
          <w:szCs w:val="24"/>
        </w:rPr>
        <w:t>Axelova</w:t>
      </w:r>
      <w:proofErr w:type="spellEnd"/>
      <w:r w:rsidRPr="00243CA1">
        <w:rPr>
          <w:rFonts w:ascii="Times New Roman" w:eastAsia="DejaVuSerif" w:hAnsi="Times New Roman" w:cs="Times New Roman"/>
          <w:color w:val="222222"/>
          <w:sz w:val="24"/>
          <w:szCs w:val="24"/>
        </w:rPr>
        <w:t xml:space="preserve"> </w:t>
      </w:r>
      <w:r>
        <w:rPr>
          <w:rFonts w:ascii="Times New Roman" w:eastAsia="DejaVuSerif" w:hAnsi="Times New Roman" w:cs="Times New Roman"/>
          <w:color w:val="222222"/>
          <w:sz w:val="24"/>
          <w:szCs w:val="24"/>
        </w:rPr>
        <w:t xml:space="preserve">E. </w:t>
      </w:r>
      <w:r w:rsidRPr="00243CA1">
        <w:rPr>
          <w:rFonts w:ascii="Times New Roman" w:eastAsia="DejaVuSerif" w:hAnsi="Times New Roman" w:cs="Times New Roman"/>
          <w:color w:val="222222"/>
          <w:sz w:val="24"/>
          <w:szCs w:val="24"/>
        </w:rPr>
        <w:t xml:space="preserve">(2005), « Existe-t-il un comportement spécifique aux consommateurs des pays émergents ? Le cas de la Bulgarie </w:t>
      </w:r>
      <w:r w:rsidRPr="00243CA1">
        <w:rPr>
          <w:rFonts w:ascii="Times New Roman" w:eastAsia="DejaVuSerif" w:hAnsi="Times New Roman" w:cs="Times New Roman"/>
          <w:sz w:val="24"/>
          <w:szCs w:val="24"/>
        </w:rPr>
        <w:t xml:space="preserve">», </w:t>
      </w:r>
      <w:r w:rsidRPr="00243CA1">
        <w:rPr>
          <w:rFonts w:ascii="Times New Roman" w:eastAsia="DejaVuSerif-Italic" w:hAnsi="Times New Roman" w:cs="Times New Roman"/>
          <w:i/>
          <w:iCs/>
          <w:sz w:val="24"/>
          <w:szCs w:val="24"/>
        </w:rPr>
        <w:t xml:space="preserve">Management &amp; Avenir, Vol </w:t>
      </w:r>
      <w:r w:rsidRPr="00243CA1">
        <w:rPr>
          <w:rFonts w:ascii="Times New Roman" w:eastAsia="DejaVuSerif" w:hAnsi="Times New Roman" w:cs="Times New Roman"/>
          <w:color w:val="222222"/>
          <w:sz w:val="24"/>
          <w:szCs w:val="24"/>
        </w:rPr>
        <w:t>2, N°4, 7-25</w:t>
      </w:r>
    </w:p>
    <w:p w:rsidR="00885E1C" w:rsidRPr="004E13FA" w:rsidRDefault="00885E1C" w:rsidP="00885E1C">
      <w:pPr>
        <w:autoSpaceDE w:val="0"/>
        <w:autoSpaceDN w:val="0"/>
        <w:adjustRightInd w:val="0"/>
        <w:spacing w:after="0" w:line="360" w:lineRule="auto"/>
        <w:jc w:val="both"/>
        <w:rPr>
          <w:rFonts w:ascii="Times New Roman" w:hAnsi="Times New Roman" w:cs="Times New Roman"/>
          <w:sz w:val="24"/>
          <w:szCs w:val="24"/>
          <w:lang w:val="en-US"/>
        </w:rPr>
      </w:pPr>
      <w:proofErr w:type="spellStart"/>
      <w:r w:rsidRPr="00243CA1">
        <w:rPr>
          <w:rFonts w:ascii="Times New Roman" w:hAnsi="Times New Roman" w:cs="Times New Roman"/>
          <w:sz w:val="24"/>
          <w:szCs w:val="24"/>
          <w:lang w:val="fr-CM"/>
        </w:rPr>
        <w:t>Blocker</w:t>
      </w:r>
      <w:proofErr w:type="spellEnd"/>
      <w:r w:rsidRPr="00243CA1">
        <w:rPr>
          <w:rFonts w:ascii="Times New Roman" w:hAnsi="Times New Roman" w:cs="Times New Roman"/>
          <w:sz w:val="24"/>
          <w:szCs w:val="24"/>
          <w:lang w:val="fr-CM"/>
        </w:rPr>
        <w:t xml:space="preserve"> C. &amp; Al. </w:t>
      </w:r>
      <w:r w:rsidRPr="009C08B8">
        <w:rPr>
          <w:rFonts w:ascii="Times New Roman" w:hAnsi="Times New Roman" w:cs="Times New Roman"/>
          <w:sz w:val="24"/>
          <w:szCs w:val="24"/>
          <w:lang w:val="en-US"/>
        </w:rPr>
        <w:t>(2013), «Understanding poverty and promoting poverty allev</w:t>
      </w:r>
      <w:r>
        <w:rPr>
          <w:rFonts w:ascii="Times New Roman" w:hAnsi="Times New Roman" w:cs="Times New Roman"/>
          <w:sz w:val="24"/>
          <w:szCs w:val="24"/>
          <w:lang w:val="en-US"/>
        </w:rPr>
        <w:t>iating</w:t>
      </w:r>
      <w:r w:rsidRPr="009C08B8">
        <w:rPr>
          <w:rFonts w:ascii="Times New Roman" w:hAnsi="Times New Roman" w:cs="Times New Roman"/>
          <w:sz w:val="24"/>
          <w:szCs w:val="24"/>
          <w:lang w:val="en-US"/>
        </w:rPr>
        <w:t xml:space="preserve"> through </w:t>
      </w:r>
      <w:r w:rsidRPr="009C08B8">
        <w:rPr>
          <w:rFonts w:ascii="Times New Roman" w:hAnsi="Times New Roman" w:cs="Times New Roman"/>
          <w:i/>
          <w:iCs/>
          <w:sz w:val="24"/>
          <w:szCs w:val="24"/>
          <w:lang w:val="en-US"/>
        </w:rPr>
        <w:t>Transformative</w:t>
      </w:r>
      <w:r w:rsidRPr="009C08B8">
        <w:rPr>
          <w:rFonts w:ascii="Times New Roman" w:hAnsi="Times New Roman" w:cs="Times New Roman"/>
          <w:sz w:val="24"/>
          <w:szCs w:val="24"/>
          <w:lang w:val="en-US"/>
        </w:rPr>
        <w:t xml:space="preserve"> </w:t>
      </w:r>
      <w:r w:rsidRPr="009C08B8">
        <w:rPr>
          <w:rFonts w:ascii="Times New Roman" w:hAnsi="Times New Roman" w:cs="Times New Roman"/>
          <w:i/>
          <w:iCs/>
          <w:sz w:val="24"/>
          <w:szCs w:val="24"/>
          <w:lang w:val="en-US"/>
        </w:rPr>
        <w:t>Consumer Research</w:t>
      </w:r>
      <w:r w:rsidRPr="009C08B8">
        <w:rPr>
          <w:rFonts w:ascii="Times New Roman" w:eastAsia="DejaVuSerif" w:hAnsi="Times New Roman" w:cs="Times New Roman"/>
          <w:color w:val="222222"/>
          <w:sz w:val="24"/>
          <w:szCs w:val="24"/>
          <w:lang w:val="en-US"/>
        </w:rPr>
        <w:t>»</w:t>
      </w:r>
      <w:r w:rsidRPr="009C08B8">
        <w:rPr>
          <w:rFonts w:ascii="Times New Roman" w:hAnsi="Times New Roman" w:cs="Times New Roman"/>
          <w:i/>
          <w:iCs/>
          <w:sz w:val="24"/>
          <w:szCs w:val="24"/>
          <w:lang w:val="en-US"/>
        </w:rPr>
        <w:t>, J</w:t>
      </w:r>
      <w:r w:rsidRPr="004E13FA">
        <w:rPr>
          <w:rFonts w:ascii="Times New Roman" w:hAnsi="Times New Roman" w:cs="Times New Roman"/>
          <w:i/>
          <w:iCs/>
          <w:sz w:val="24"/>
          <w:szCs w:val="24"/>
          <w:lang w:val="en-US"/>
        </w:rPr>
        <w:t xml:space="preserve">ournal of Business Research, 66, S, </w:t>
      </w:r>
      <w:r w:rsidRPr="004E13FA">
        <w:rPr>
          <w:rFonts w:ascii="Times New Roman" w:hAnsi="Times New Roman" w:cs="Times New Roman"/>
          <w:sz w:val="24"/>
          <w:szCs w:val="24"/>
          <w:lang w:val="en-US"/>
        </w:rPr>
        <w:t>1195-1202.</w:t>
      </w:r>
    </w:p>
    <w:p w:rsidR="00885E1C" w:rsidRDefault="00885E1C" w:rsidP="00885E1C">
      <w:pPr>
        <w:autoSpaceDE w:val="0"/>
        <w:autoSpaceDN w:val="0"/>
        <w:adjustRightInd w:val="0"/>
        <w:spacing w:after="0" w:line="360" w:lineRule="auto"/>
        <w:jc w:val="both"/>
        <w:rPr>
          <w:rFonts w:ascii="Times New Roman" w:hAnsi="Times New Roman" w:cs="Times New Roman"/>
          <w:sz w:val="24"/>
          <w:szCs w:val="24"/>
        </w:rPr>
      </w:pPr>
      <w:proofErr w:type="spellStart"/>
      <w:r w:rsidRPr="002B6478">
        <w:rPr>
          <w:rFonts w:ascii="Times New Roman" w:hAnsi="Times New Roman" w:cs="Times New Roman"/>
          <w:sz w:val="24"/>
          <w:szCs w:val="24"/>
        </w:rPr>
        <w:t>Dalsace</w:t>
      </w:r>
      <w:proofErr w:type="spellEnd"/>
      <w:r w:rsidRPr="002B6478">
        <w:rPr>
          <w:rFonts w:ascii="Times New Roman" w:hAnsi="Times New Roman" w:cs="Times New Roman"/>
          <w:sz w:val="24"/>
          <w:szCs w:val="24"/>
        </w:rPr>
        <w:t xml:space="preserve"> F. &amp;  </w:t>
      </w:r>
      <w:proofErr w:type="spellStart"/>
      <w:r w:rsidRPr="002B6478">
        <w:rPr>
          <w:rFonts w:ascii="Times New Roman" w:hAnsi="Times New Roman" w:cs="Times New Roman"/>
          <w:sz w:val="24"/>
          <w:szCs w:val="24"/>
        </w:rPr>
        <w:t>Ménascé</w:t>
      </w:r>
      <w:proofErr w:type="spellEnd"/>
      <w:r w:rsidRPr="002B6478">
        <w:rPr>
          <w:rFonts w:ascii="Times New Roman" w:hAnsi="Times New Roman" w:cs="Times New Roman"/>
          <w:sz w:val="24"/>
          <w:szCs w:val="24"/>
        </w:rPr>
        <w:t xml:space="preserve"> D. (2010), « Structurer le débat Entreprises et pauvretés. Légitimité, intérêt, modalité, efficacité</w:t>
      </w:r>
      <w:r w:rsidRPr="00817B2E">
        <w:rPr>
          <w:rFonts w:ascii="Times New Roman" w:eastAsia="DejaVuSerif" w:hAnsi="Times New Roman" w:cs="Times New Roman"/>
          <w:color w:val="222222"/>
          <w:sz w:val="24"/>
          <w:szCs w:val="24"/>
        </w:rPr>
        <w:t>»</w:t>
      </w:r>
      <w:r w:rsidRPr="002B6478">
        <w:rPr>
          <w:rFonts w:ascii="Times New Roman" w:hAnsi="Times New Roman" w:cs="Times New Roman"/>
          <w:sz w:val="24"/>
          <w:szCs w:val="24"/>
        </w:rPr>
        <w:t xml:space="preserve">, </w:t>
      </w:r>
      <w:r w:rsidRPr="002B6478">
        <w:rPr>
          <w:rFonts w:ascii="Times New Roman" w:hAnsi="Times New Roman" w:cs="Times New Roman"/>
          <w:i/>
          <w:iCs/>
          <w:sz w:val="24"/>
          <w:szCs w:val="24"/>
        </w:rPr>
        <w:t>Revue Française de Gestion</w:t>
      </w:r>
      <w:r w:rsidRPr="002B6478">
        <w:rPr>
          <w:rFonts w:ascii="Times New Roman" w:hAnsi="Times New Roman" w:cs="Times New Roman"/>
          <w:sz w:val="24"/>
          <w:szCs w:val="24"/>
        </w:rPr>
        <w:t>,  N° 9/10, Vol 208/209, 15-44</w:t>
      </w:r>
    </w:p>
    <w:p w:rsidR="00885E1C" w:rsidRDefault="00885E1C" w:rsidP="00885E1C">
      <w:pPr>
        <w:autoSpaceDE w:val="0"/>
        <w:autoSpaceDN w:val="0"/>
        <w:adjustRightInd w:val="0"/>
        <w:spacing w:after="0" w:line="360" w:lineRule="auto"/>
        <w:jc w:val="both"/>
        <w:rPr>
          <w:rFonts w:ascii="Times New Roman" w:hAnsi="Times New Roman" w:cs="Times New Roman"/>
          <w:sz w:val="24"/>
          <w:szCs w:val="24"/>
          <w:lang w:val="fr-CM"/>
        </w:rPr>
      </w:pPr>
      <w:r>
        <w:rPr>
          <w:rFonts w:ascii="Times New Roman" w:hAnsi="Times New Roman" w:cs="Times New Roman"/>
          <w:sz w:val="24"/>
          <w:szCs w:val="24"/>
          <w:lang w:val="fr-CM"/>
        </w:rPr>
        <w:t xml:space="preserve">Gorge H. &amp; </w:t>
      </w:r>
      <w:proofErr w:type="spellStart"/>
      <w:r>
        <w:rPr>
          <w:rFonts w:ascii="Times New Roman" w:hAnsi="Times New Roman" w:cs="Times New Roman"/>
          <w:sz w:val="24"/>
          <w:szCs w:val="24"/>
          <w:lang w:val="fr-CM"/>
        </w:rPr>
        <w:t>Özçaglar</w:t>
      </w:r>
      <w:proofErr w:type="spellEnd"/>
      <w:r>
        <w:rPr>
          <w:rFonts w:ascii="Times New Roman" w:hAnsi="Times New Roman" w:cs="Times New Roman"/>
          <w:sz w:val="24"/>
          <w:szCs w:val="24"/>
          <w:lang w:val="fr-CM"/>
        </w:rPr>
        <w:t xml:space="preserve">-Toulouse N. (2013), </w:t>
      </w:r>
      <w:r w:rsidRPr="002B6478">
        <w:rPr>
          <w:rFonts w:ascii="Times New Roman" w:hAnsi="Times New Roman" w:cs="Times New Roman"/>
          <w:sz w:val="24"/>
          <w:szCs w:val="24"/>
        </w:rPr>
        <w:t>«</w:t>
      </w:r>
      <w:r>
        <w:rPr>
          <w:rFonts w:ascii="Times New Roman" w:hAnsi="Times New Roman" w:cs="Times New Roman"/>
          <w:sz w:val="24"/>
          <w:szCs w:val="24"/>
          <w:lang w:val="fr-CM"/>
        </w:rPr>
        <w:t xml:space="preserve">Expériences de consommation des individus pauvres en France : apports du Bas de la Pyramide et de la Transformative Consumer </w:t>
      </w:r>
      <w:proofErr w:type="spellStart"/>
      <w:r>
        <w:rPr>
          <w:rFonts w:ascii="Times New Roman" w:hAnsi="Times New Roman" w:cs="Times New Roman"/>
          <w:sz w:val="24"/>
          <w:szCs w:val="24"/>
          <w:lang w:val="fr-CM"/>
        </w:rPr>
        <w:t>Response</w:t>
      </w:r>
      <w:proofErr w:type="spellEnd"/>
      <w:r w:rsidRPr="00817B2E">
        <w:rPr>
          <w:rFonts w:ascii="Times New Roman" w:eastAsia="DejaVuSerif" w:hAnsi="Times New Roman" w:cs="Times New Roman"/>
          <w:color w:val="222222"/>
          <w:sz w:val="24"/>
          <w:szCs w:val="24"/>
        </w:rPr>
        <w:t>»</w:t>
      </w:r>
      <w:r>
        <w:rPr>
          <w:rFonts w:ascii="Times New Roman" w:hAnsi="Times New Roman" w:cs="Times New Roman"/>
          <w:sz w:val="24"/>
          <w:szCs w:val="24"/>
          <w:lang w:val="fr-CM"/>
        </w:rPr>
        <w:t xml:space="preserve">, </w:t>
      </w:r>
      <w:r w:rsidRPr="00B13FD2">
        <w:rPr>
          <w:rFonts w:ascii="Times New Roman" w:hAnsi="Times New Roman" w:cs="Times New Roman"/>
          <w:i/>
          <w:sz w:val="24"/>
          <w:szCs w:val="24"/>
          <w:lang w:val="fr-CM"/>
        </w:rPr>
        <w:t>Décisions Marketing</w:t>
      </w:r>
      <w:r>
        <w:rPr>
          <w:rFonts w:ascii="Times New Roman" w:hAnsi="Times New Roman" w:cs="Times New Roman"/>
          <w:sz w:val="24"/>
          <w:szCs w:val="24"/>
          <w:lang w:val="fr-CM"/>
        </w:rPr>
        <w:t>, N° 72, Octobre- Décembre, 139- 156</w:t>
      </w:r>
    </w:p>
    <w:p w:rsidR="00885E1C" w:rsidRPr="002B6478" w:rsidRDefault="00885E1C" w:rsidP="00885E1C">
      <w:pPr>
        <w:autoSpaceDE w:val="0"/>
        <w:autoSpaceDN w:val="0"/>
        <w:adjustRightInd w:val="0"/>
        <w:spacing w:after="0" w:line="360" w:lineRule="auto"/>
        <w:jc w:val="both"/>
        <w:rPr>
          <w:rFonts w:ascii="Times New Roman" w:eastAsia="DejaVuSerif" w:hAnsi="Times New Roman" w:cs="Times New Roman"/>
          <w:color w:val="222222"/>
          <w:sz w:val="24"/>
          <w:szCs w:val="24"/>
        </w:rPr>
      </w:pPr>
      <w:r>
        <w:rPr>
          <w:rFonts w:ascii="Times New Roman" w:hAnsi="Times New Roman" w:cs="Times New Roman"/>
          <w:sz w:val="24"/>
          <w:szCs w:val="24"/>
          <w:lang w:val="fr-CM"/>
        </w:rPr>
        <w:t xml:space="preserve">Gorge H. &amp; </w:t>
      </w:r>
      <w:proofErr w:type="spellStart"/>
      <w:r>
        <w:rPr>
          <w:rFonts w:ascii="Times New Roman" w:hAnsi="Times New Roman" w:cs="Times New Roman"/>
          <w:sz w:val="24"/>
          <w:szCs w:val="24"/>
          <w:lang w:val="fr-CM"/>
        </w:rPr>
        <w:t>Özçaglar</w:t>
      </w:r>
      <w:proofErr w:type="spellEnd"/>
      <w:r>
        <w:rPr>
          <w:rFonts w:ascii="Times New Roman" w:hAnsi="Times New Roman" w:cs="Times New Roman"/>
          <w:sz w:val="24"/>
          <w:szCs w:val="24"/>
          <w:lang w:val="fr-CM"/>
        </w:rPr>
        <w:t xml:space="preserve">-Toulouse N. (2017), </w:t>
      </w:r>
      <w:r w:rsidRPr="002B6478">
        <w:rPr>
          <w:rFonts w:ascii="Times New Roman" w:hAnsi="Times New Roman" w:cs="Times New Roman"/>
          <w:sz w:val="24"/>
          <w:szCs w:val="24"/>
        </w:rPr>
        <w:t>«</w:t>
      </w:r>
      <w:r>
        <w:rPr>
          <w:rFonts w:ascii="Times New Roman" w:hAnsi="Times New Roman" w:cs="Times New Roman"/>
          <w:sz w:val="24"/>
          <w:szCs w:val="24"/>
          <w:lang w:val="fr-CM"/>
        </w:rPr>
        <w:t>Les cadres théoriques et méthodologiques pour étudier la pauvreté en Marketing</w:t>
      </w:r>
      <w:r w:rsidRPr="00817B2E">
        <w:rPr>
          <w:rFonts w:ascii="Times New Roman" w:eastAsia="DejaVuSerif" w:hAnsi="Times New Roman" w:cs="Times New Roman"/>
          <w:color w:val="222222"/>
          <w:sz w:val="24"/>
          <w:szCs w:val="24"/>
        </w:rPr>
        <w:t>»</w:t>
      </w:r>
      <w:r>
        <w:rPr>
          <w:rFonts w:ascii="Times New Roman" w:hAnsi="Times New Roman" w:cs="Times New Roman"/>
          <w:sz w:val="24"/>
          <w:szCs w:val="24"/>
          <w:lang w:val="fr-CM"/>
        </w:rPr>
        <w:t>, In Delacroix E. &amp; Gorge H. (</w:t>
      </w:r>
      <w:proofErr w:type="spellStart"/>
      <w:r>
        <w:rPr>
          <w:rFonts w:ascii="Times New Roman" w:hAnsi="Times New Roman" w:cs="Times New Roman"/>
          <w:sz w:val="24"/>
          <w:szCs w:val="24"/>
          <w:lang w:val="fr-CM"/>
        </w:rPr>
        <w:t>Eds</w:t>
      </w:r>
      <w:proofErr w:type="spellEnd"/>
      <w:r>
        <w:rPr>
          <w:rFonts w:ascii="Times New Roman" w:hAnsi="Times New Roman" w:cs="Times New Roman"/>
          <w:sz w:val="24"/>
          <w:szCs w:val="24"/>
          <w:lang w:val="fr-CM"/>
        </w:rPr>
        <w:t>), Marketing et pauvreté. Etre pauvre dans la société de consommation, EMS, Management &amp; Société, 93- 113</w:t>
      </w:r>
    </w:p>
    <w:p w:rsidR="00885E1C" w:rsidRPr="00E253C8" w:rsidRDefault="00885E1C" w:rsidP="00885E1C">
      <w:pPr>
        <w:autoSpaceDE w:val="0"/>
        <w:autoSpaceDN w:val="0"/>
        <w:adjustRightInd w:val="0"/>
        <w:spacing w:after="0" w:line="360" w:lineRule="auto"/>
        <w:jc w:val="both"/>
        <w:rPr>
          <w:rFonts w:ascii="Times New Roman" w:eastAsia="DejaVuSerif" w:hAnsi="Times New Roman" w:cs="Times New Roman"/>
          <w:color w:val="222222"/>
          <w:sz w:val="24"/>
          <w:szCs w:val="24"/>
          <w:lang w:val="en-US"/>
        </w:rPr>
      </w:pPr>
      <w:r w:rsidRPr="00E253C8">
        <w:rPr>
          <w:rFonts w:ascii="Times New Roman" w:hAnsi="Times New Roman" w:cs="Times New Roman"/>
          <w:sz w:val="24"/>
          <w:szCs w:val="24"/>
          <w:lang w:val="en-US"/>
        </w:rPr>
        <w:t>Hamilton &amp; Al (2015), « Consumer vulnerability: conditions, contexts and characteristics</w:t>
      </w:r>
      <w:r w:rsidRPr="001048DC">
        <w:rPr>
          <w:rFonts w:ascii="Times New Roman" w:eastAsia="DejaVuSerif" w:hAnsi="Times New Roman" w:cs="Times New Roman"/>
          <w:color w:val="222222"/>
          <w:sz w:val="24"/>
          <w:szCs w:val="24"/>
          <w:lang w:val="en-US"/>
        </w:rPr>
        <w:t>»</w:t>
      </w:r>
      <w:r w:rsidRPr="00E253C8">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Routledge</w:t>
      </w:r>
      <w:proofErr w:type="spellEnd"/>
      <w:r>
        <w:rPr>
          <w:rFonts w:ascii="Times New Roman" w:hAnsi="Times New Roman" w:cs="Times New Roman"/>
          <w:sz w:val="24"/>
          <w:szCs w:val="24"/>
          <w:lang w:val="en-US"/>
        </w:rPr>
        <w:t>, UK</w:t>
      </w:r>
    </w:p>
    <w:p w:rsidR="00885E1C" w:rsidRPr="00DE3D17" w:rsidRDefault="00885E1C" w:rsidP="00885E1C">
      <w:pPr>
        <w:autoSpaceDE w:val="0"/>
        <w:autoSpaceDN w:val="0"/>
        <w:adjustRightInd w:val="0"/>
        <w:spacing w:after="0" w:line="360" w:lineRule="auto"/>
        <w:jc w:val="both"/>
        <w:rPr>
          <w:rFonts w:ascii="Times New Roman" w:hAnsi="Times New Roman" w:cs="Times New Roman"/>
          <w:sz w:val="24"/>
          <w:szCs w:val="24"/>
        </w:rPr>
      </w:pPr>
      <w:r w:rsidRPr="00735D6F">
        <w:rPr>
          <w:rFonts w:ascii="Times New Roman" w:hAnsi="Times New Roman" w:cs="Times New Roman"/>
          <w:sz w:val="24"/>
          <w:szCs w:val="24"/>
        </w:rPr>
        <w:t xml:space="preserve">Martinet A. C. et </w:t>
      </w:r>
      <w:proofErr w:type="spellStart"/>
      <w:r w:rsidRPr="00735D6F">
        <w:rPr>
          <w:rFonts w:ascii="Times New Roman" w:hAnsi="Times New Roman" w:cs="Times New Roman"/>
          <w:sz w:val="24"/>
          <w:szCs w:val="24"/>
        </w:rPr>
        <w:t>Payaud</w:t>
      </w:r>
      <w:proofErr w:type="spellEnd"/>
      <w:r w:rsidRPr="00735D6F">
        <w:rPr>
          <w:rFonts w:ascii="Times New Roman" w:hAnsi="Times New Roman" w:cs="Times New Roman"/>
          <w:sz w:val="24"/>
          <w:szCs w:val="24"/>
        </w:rPr>
        <w:t xml:space="preserve"> M. A. (2010), </w:t>
      </w:r>
      <w:r w:rsidRPr="002B6478">
        <w:rPr>
          <w:rFonts w:ascii="Times New Roman" w:hAnsi="Times New Roman" w:cs="Times New Roman"/>
          <w:sz w:val="24"/>
          <w:szCs w:val="24"/>
        </w:rPr>
        <w:t>«</w:t>
      </w:r>
      <w:r w:rsidRPr="00735D6F">
        <w:rPr>
          <w:rFonts w:ascii="Times New Roman" w:hAnsi="Times New Roman" w:cs="Times New Roman"/>
          <w:sz w:val="24"/>
          <w:szCs w:val="24"/>
        </w:rPr>
        <w:t xml:space="preserve">La stratégie </w:t>
      </w:r>
      <w:proofErr w:type="spellStart"/>
      <w:r w:rsidRPr="00735D6F">
        <w:rPr>
          <w:rFonts w:ascii="Times New Roman" w:hAnsi="Times New Roman" w:cs="Times New Roman"/>
          <w:sz w:val="24"/>
          <w:szCs w:val="24"/>
        </w:rPr>
        <w:t>BoP</w:t>
      </w:r>
      <w:proofErr w:type="spellEnd"/>
      <w:r w:rsidRPr="00735D6F">
        <w:rPr>
          <w:rFonts w:ascii="Times New Roman" w:hAnsi="Times New Roman" w:cs="Times New Roman"/>
          <w:sz w:val="24"/>
          <w:szCs w:val="24"/>
        </w:rPr>
        <w:t xml:space="preserve"> à l'épreuve des pauvret</w:t>
      </w:r>
      <w:r>
        <w:rPr>
          <w:rFonts w:ascii="Times New Roman" w:hAnsi="Times New Roman" w:cs="Times New Roman"/>
          <w:sz w:val="24"/>
          <w:szCs w:val="24"/>
        </w:rPr>
        <w:t>és. Une modélisation dialogique</w:t>
      </w:r>
      <w:r w:rsidRPr="00817B2E">
        <w:rPr>
          <w:rFonts w:ascii="Times New Roman" w:eastAsia="DejaVuSerif" w:hAnsi="Times New Roman" w:cs="Times New Roman"/>
          <w:color w:val="222222"/>
          <w:sz w:val="24"/>
          <w:szCs w:val="24"/>
        </w:rPr>
        <w:t>»</w:t>
      </w:r>
      <w:r>
        <w:rPr>
          <w:rFonts w:ascii="Times New Roman" w:hAnsi="Times New Roman" w:cs="Times New Roman"/>
          <w:sz w:val="24"/>
          <w:szCs w:val="24"/>
        </w:rPr>
        <w:t xml:space="preserve">, </w:t>
      </w:r>
      <w:r w:rsidRPr="00735D6F">
        <w:rPr>
          <w:rFonts w:ascii="Times New Roman" w:hAnsi="Times New Roman" w:cs="Times New Roman"/>
          <w:sz w:val="24"/>
          <w:szCs w:val="24"/>
        </w:rPr>
        <w:t xml:space="preserve"> </w:t>
      </w:r>
      <w:r w:rsidRPr="00735D6F">
        <w:rPr>
          <w:rFonts w:ascii="Times New Roman" w:hAnsi="Times New Roman" w:cs="Times New Roman"/>
          <w:i/>
          <w:iCs/>
          <w:sz w:val="24"/>
          <w:szCs w:val="24"/>
        </w:rPr>
        <w:t>Revue Française de Gestion,</w:t>
      </w:r>
      <w:r w:rsidRPr="00735D6F">
        <w:rPr>
          <w:rFonts w:ascii="Times New Roman" w:hAnsi="Times New Roman" w:cs="Times New Roman"/>
          <w:sz w:val="24"/>
          <w:szCs w:val="24"/>
        </w:rPr>
        <w:t xml:space="preserve"> </w:t>
      </w:r>
      <w:r w:rsidRPr="00DE3D17">
        <w:rPr>
          <w:rFonts w:ascii="Times New Roman" w:hAnsi="Times New Roman" w:cs="Times New Roman"/>
          <w:sz w:val="24"/>
          <w:szCs w:val="24"/>
        </w:rPr>
        <w:t>208-209,63-81</w:t>
      </w:r>
    </w:p>
    <w:p w:rsidR="00885E1C" w:rsidRPr="00DE3D17" w:rsidRDefault="00885E1C" w:rsidP="00885E1C">
      <w:pPr>
        <w:autoSpaceDE w:val="0"/>
        <w:autoSpaceDN w:val="0"/>
        <w:adjustRightInd w:val="0"/>
        <w:spacing w:after="0" w:line="360" w:lineRule="auto"/>
        <w:jc w:val="both"/>
        <w:rPr>
          <w:rFonts w:ascii="Times New Roman" w:hAnsi="Times New Roman" w:cs="Times New Roman"/>
          <w:sz w:val="24"/>
          <w:szCs w:val="24"/>
          <w:lang w:val="en-US"/>
        </w:rPr>
      </w:pPr>
      <w:r w:rsidRPr="00F472A1">
        <w:rPr>
          <w:rFonts w:ascii="Times New Roman" w:hAnsi="Times New Roman" w:cs="Times New Roman"/>
          <w:sz w:val="24"/>
          <w:szCs w:val="24"/>
        </w:rPr>
        <w:t xml:space="preserve">Mick D.G. &amp; Al. </w:t>
      </w:r>
      <w:r w:rsidRPr="00DE3D17">
        <w:rPr>
          <w:rFonts w:ascii="Times New Roman" w:hAnsi="Times New Roman" w:cs="Times New Roman"/>
          <w:sz w:val="24"/>
          <w:szCs w:val="24"/>
          <w:lang w:val="en-US"/>
        </w:rPr>
        <w:t xml:space="preserve">(2011), </w:t>
      </w:r>
      <w:r w:rsidRPr="00DF0B5C">
        <w:rPr>
          <w:rFonts w:ascii="Times New Roman" w:hAnsi="Times New Roman" w:cs="Times New Roman"/>
          <w:sz w:val="24"/>
          <w:szCs w:val="24"/>
          <w:lang w:val="en-US"/>
        </w:rPr>
        <w:t>«</w:t>
      </w:r>
      <w:r w:rsidRPr="00DE3D17">
        <w:rPr>
          <w:rFonts w:ascii="Times New Roman" w:hAnsi="Times New Roman" w:cs="Times New Roman"/>
          <w:i/>
          <w:iCs/>
          <w:sz w:val="24"/>
          <w:szCs w:val="24"/>
          <w:lang w:val="en-US"/>
        </w:rPr>
        <w:t>Transformative Consumer Research</w:t>
      </w:r>
      <w:r w:rsidRPr="00DE3D17">
        <w:rPr>
          <w:rFonts w:ascii="Times New Roman" w:hAnsi="Times New Roman" w:cs="Times New Roman"/>
          <w:sz w:val="24"/>
          <w:szCs w:val="24"/>
          <w:lang w:val="en-US"/>
        </w:rPr>
        <w:t xml:space="preserve"> </w:t>
      </w:r>
      <w:r w:rsidRPr="00DE3D17">
        <w:rPr>
          <w:rFonts w:ascii="Times New Roman" w:hAnsi="Times New Roman" w:cs="Times New Roman"/>
          <w:i/>
          <w:iCs/>
          <w:sz w:val="24"/>
          <w:szCs w:val="24"/>
          <w:lang w:val="en-US"/>
        </w:rPr>
        <w:t>for personal and collective well-being</w:t>
      </w:r>
      <w:r w:rsidRPr="00DF0B5C">
        <w:rPr>
          <w:rFonts w:ascii="Times New Roman" w:eastAsia="DejaVuSerif" w:hAnsi="Times New Roman" w:cs="Times New Roman"/>
          <w:color w:val="222222"/>
          <w:sz w:val="24"/>
          <w:szCs w:val="24"/>
          <w:lang w:val="en-US"/>
        </w:rPr>
        <w:t>»</w:t>
      </w:r>
      <w:r w:rsidRPr="00DE3D17">
        <w:rPr>
          <w:rFonts w:ascii="Times New Roman" w:hAnsi="Times New Roman" w:cs="Times New Roman"/>
          <w:i/>
          <w:iCs/>
          <w:sz w:val="24"/>
          <w:szCs w:val="24"/>
          <w:lang w:val="en-US"/>
        </w:rPr>
        <w:t xml:space="preserve">, </w:t>
      </w:r>
      <w:r w:rsidRPr="00DE3D17">
        <w:rPr>
          <w:rFonts w:ascii="Times New Roman" w:hAnsi="Times New Roman" w:cs="Times New Roman"/>
          <w:sz w:val="24"/>
          <w:szCs w:val="24"/>
          <w:lang w:val="en-US"/>
        </w:rPr>
        <w:t xml:space="preserve">USA, </w:t>
      </w:r>
      <w:proofErr w:type="spellStart"/>
      <w:r>
        <w:rPr>
          <w:rFonts w:ascii="Times New Roman" w:hAnsi="Times New Roman" w:cs="Times New Roman"/>
          <w:sz w:val="24"/>
          <w:szCs w:val="24"/>
          <w:lang w:val="en-US"/>
        </w:rPr>
        <w:t>Routledge</w:t>
      </w:r>
      <w:proofErr w:type="spellEnd"/>
    </w:p>
    <w:p w:rsidR="00885E1C" w:rsidRDefault="00885E1C" w:rsidP="00885E1C">
      <w:pPr>
        <w:autoSpaceDE w:val="0"/>
        <w:autoSpaceDN w:val="0"/>
        <w:adjustRightInd w:val="0"/>
        <w:spacing w:after="0" w:line="360" w:lineRule="auto"/>
        <w:jc w:val="both"/>
        <w:rPr>
          <w:rFonts w:ascii="Times New Roman" w:hAnsi="Times New Roman" w:cs="Times New Roman"/>
          <w:sz w:val="24"/>
          <w:szCs w:val="24"/>
          <w:lang w:val="en-US"/>
        </w:rPr>
      </w:pPr>
      <w:proofErr w:type="spellStart"/>
      <w:r w:rsidRPr="00A7468F">
        <w:rPr>
          <w:rFonts w:ascii="Times New Roman" w:hAnsi="Times New Roman" w:cs="Times New Roman"/>
          <w:sz w:val="24"/>
          <w:szCs w:val="24"/>
          <w:lang w:val="en-US"/>
        </w:rPr>
        <w:t>Prahalad</w:t>
      </w:r>
      <w:proofErr w:type="spellEnd"/>
      <w:r w:rsidRPr="00A7468F">
        <w:rPr>
          <w:rFonts w:ascii="Times New Roman" w:hAnsi="Times New Roman" w:cs="Times New Roman"/>
          <w:sz w:val="24"/>
          <w:szCs w:val="24"/>
          <w:lang w:val="en-US"/>
        </w:rPr>
        <w:t xml:space="preserve"> C.K. (2004), </w:t>
      </w:r>
      <w:r w:rsidRPr="00DF0B5C">
        <w:rPr>
          <w:rFonts w:ascii="Times New Roman" w:hAnsi="Times New Roman" w:cs="Times New Roman"/>
          <w:sz w:val="24"/>
          <w:szCs w:val="24"/>
          <w:lang w:val="en-US"/>
        </w:rPr>
        <w:t>«</w:t>
      </w:r>
      <w:r w:rsidRPr="00A7468F">
        <w:rPr>
          <w:rFonts w:ascii="Times New Roman" w:hAnsi="Times New Roman" w:cs="Times New Roman"/>
          <w:i/>
          <w:iCs/>
          <w:sz w:val="24"/>
          <w:szCs w:val="24"/>
          <w:lang w:val="en-US"/>
        </w:rPr>
        <w:t>The fortune at the bottom of the pyramid: Eradicating poverty through profits</w:t>
      </w:r>
      <w:r w:rsidRPr="00DF0B5C">
        <w:rPr>
          <w:rFonts w:ascii="Times New Roman" w:eastAsia="DejaVuSerif" w:hAnsi="Times New Roman" w:cs="Times New Roman"/>
          <w:color w:val="222222"/>
          <w:sz w:val="24"/>
          <w:szCs w:val="24"/>
          <w:lang w:val="en-US"/>
        </w:rPr>
        <w:t>»</w:t>
      </w:r>
      <w:r w:rsidRPr="00A7468F">
        <w:rPr>
          <w:rFonts w:ascii="Times New Roman" w:hAnsi="Times New Roman" w:cs="Times New Roman"/>
          <w:sz w:val="24"/>
          <w:szCs w:val="24"/>
          <w:lang w:val="en-US"/>
        </w:rPr>
        <w:t>, USA, Prentice Hall</w:t>
      </w:r>
    </w:p>
    <w:p w:rsidR="00885E1C" w:rsidRPr="00E71C4A" w:rsidRDefault="00885E1C" w:rsidP="00885E1C">
      <w:pPr>
        <w:autoSpaceDE w:val="0"/>
        <w:autoSpaceDN w:val="0"/>
        <w:adjustRightInd w:val="0"/>
        <w:spacing w:after="0" w:line="360" w:lineRule="auto"/>
        <w:jc w:val="both"/>
        <w:rPr>
          <w:rFonts w:ascii="Times New Roman" w:hAnsi="Times New Roman" w:cs="Times New Roman"/>
          <w:sz w:val="24"/>
          <w:szCs w:val="24"/>
        </w:rPr>
      </w:pPr>
      <w:proofErr w:type="spellStart"/>
      <w:r w:rsidRPr="00E71C4A">
        <w:rPr>
          <w:rFonts w:ascii="Times New Roman" w:hAnsi="Times New Roman" w:cs="Times New Roman"/>
          <w:sz w:val="24"/>
          <w:szCs w:val="24"/>
        </w:rPr>
        <w:t>Raim</w:t>
      </w:r>
      <w:proofErr w:type="spellEnd"/>
      <w:r>
        <w:rPr>
          <w:rFonts w:ascii="Times New Roman" w:hAnsi="Times New Roman" w:cs="Times New Roman"/>
          <w:sz w:val="24"/>
          <w:szCs w:val="24"/>
        </w:rPr>
        <w:t xml:space="preserve"> L.</w:t>
      </w:r>
      <w:r w:rsidRPr="00E71C4A">
        <w:rPr>
          <w:rFonts w:ascii="Times New Roman" w:hAnsi="Times New Roman" w:cs="Times New Roman"/>
          <w:sz w:val="24"/>
          <w:szCs w:val="24"/>
        </w:rPr>
        <w:t>, 2011</w:t>
      </w:r>
      <w:r w:rsidRPr="002B6478">
        <w:rPr>
          <w:rFonts w:ascii="Times New Roman" w:hAnsi="Times New Roman" w:cs="Times New Roman"/>
          <w:sz w:val="24"/>
          <w:szCs w:val="24"/>
        </w:rPr>
        <w:t>«</w:t>
      </w:r>
      <w:r>
        <w:rPr>
          <w:rFonts w:ascii="Times New Roman" w:hAnsi="Times New Roman" w:cs="Times New Roman"/>
          <w:sz w:val="24"/>
          <w:szCs w:val="24"/>
        </w:rPr>
        <w:t xml:space="preserve"> Le Social Business expliqué par Muhammad </w:t>
      </w:r>
      <w:proofErr w:type="spellStart"/>
      <w:r>
        <w:rPr>
          <w:rFonts w:ascii="Times New Roman" w:hAnsi="Times New Roman" w:cs="Times New Roman"/>
          <w:sz w:val="24"/>
          <w:szCs w:val="24"/>
        </w:rPr>
        <w:t>Yunus</w:t>
      </w:r>
      <w:proofErr w:type="spellEnd"/>
      <w:r>
        <w:rPr>
          <w:rFonts w:ascii="Times New Roman" w:hAnsi="Times New Roman" w:cs="Times New Roman"/>
          <w:sz w:val="24"/>
          <w:szCs w:val="24"/>
        </w:rPr>
        <w:t xml:space="preserve"> », </w:t>
      </w:r>
      <w:r w:rsidRPr="00E71C4A">
        <w:rPr>
          <w:rFonts w:ascii="Times New Roman" w:hAnsi="Times New Roman" w:cs="Times New Roman"/>
          <w:i/>
          <w:sz w:val="24"/>
          <w:szCs w:val="24"/>
        </w:rPr>
        <w:t>L’Express</w:t>
      </w:r>
      <w:r>
        <w:rPr>
          <w:rFonts w:ascii="Times New Roman" w:hAnsi="Times New Roman" w:cs="Times New Roman"/>
          <w:sz w:val="24"/>
          <w:szCs w:val="24"/>
        </w:rPr>
        <w:t>, 28 avril</w:t>
      </w:r>
    </w:p>
    <w:sectPr w:rsidR="00885E1C" w:rsidRPr="00E71C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Serif">
    <w:charset w:val="00"/>
    <w:family w:val="auto"/>
    <w:pitch w:val="default"/>
  </w:font>
  <w:font w:name="DejaVuSerif-Italic">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E1C"/>
    <w:rsid w:val="00112323"/>
    <w:rsid w:val="002D4F77"/>
    <w:rsid w:val="002D51D7"/>
    <w:rsid w:val="003116B3"/>
    <w:rsid w:val="00885E1C"/>
    <w:rsid w:val="009A21B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7CF0FB-1C2E-4C74-A21B-C2BA3D7D6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E1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85E1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1972</Words>
  <Characters>10851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2020-10-01T04:04:00Z</dcterms:created>
  <dcterms:modified xsi:type="dcterms:W3CDTF">2020-10-01T04:04:00Z</dcterms:modified>
</cp:coreProperties>
</file>